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ascii="仿宋_GB2312"/>
          <w:sz w:val="36"/>
          <w:szCs w:val="36"/>
        </w:rPr>
      </w:pPr>
      <w:bookmarkStart w:id="0" w:name="_Toc35185419"/>
      <w:bookmarkStart w:id="1" w:name="_Toc35185560"/>
      <w:bookmarkStart w:id="2" w:name="_Toc35185796"/>
      <w:bookmarkStart w:id="4" w:name="_GoBack"/>
      <w:bookmarkEnd w:id="4"/>
      <w:r>
        <w:rPr>
          <w:rFonts w:hint="eastAsia" w:ascii="仿宋_GB2312"/>
          <w:sz w:val="36"/>
          <w:szCs w:val="36"/>
        </w:rPr>
        <w:t>附件5</w:t>
      </w:r>
    </w:p>
    <w:p>
      <w:pPr>
        <w:spacing w:before="204" w:beforeLines="50" w:after="204" w:afterLines="50"/>
        <w:ind w:firstLine="0" w:firstLineChars="0"/>
        <w:jc w:val="center"/>
        <w:rPr>
          <w:rFonts w:ascii="方正小标宋简体" w:eastAsia="方正小标宋简体"/>
          <w:sz w:val="36"/>
          <w:szCs w:val="36"/>
        </w:rPr>
      </w:pPr>
      <w:r>
        <w:rPr>
          <w:rFonts w:hint="eastAsia" w:ascii="方正小标宋简体" w:eastAsia="方正小标宋简体"/>
          <w:sz w:val="36"/>
          <w:szCs w:val="36"/>
        </w:rPr>
        <w:t>20</w:t>
      </w:r>
      <w:r>
        <w:rPr>
          <w:rFonts w:ascii="方正小标宋简体" w:eastAsia="方正小标宋简体"/>
          <w:sz w:val="36"/>
          <w:szCs w:val="36"/>
        </w:rPr>
        <w:t>20</w:t>
      </w:r>
      <w:r>
        <w:rPr>
          <w:rFonts w:hint="eastAsia" w:ascii="方正小标宋简体" w:eastAsia="方正小标宋简体"/>
          <w:sz w:val="36"/>
          <w:szCs w:val="36"/>
        </w:rPr>
        <w:t>-202</w:t>
      </w:r>
      <w:r>
        <w:rPr>
          <w:rFonts w:ascii="方正小标宋简体" w:eastAsia="方正小标宋简体"/>
          <w:sz w:val="36"/>
          <w:szCs w:val="36"/>
        </w:rPr>
        <w:t>1</w:t>
      </w:r>
      <w:r>
        <w:rPr>
          <w:rFonts w:hint="eastAsia" w:ascii="方正小标宋简体" w:eastAsia="方正小标宋简体"/>
          <w:sz w:val="36"/>
          <w:szCs w:val="36"/>
        </w:rPr>
        <w:t>学年“红旗团支部”评选</w:t>
      </w:r>
      <w:bookmarkEnd w:id="0"/>
      <w:bookmarkEnd w:id="1"/>
      <w:bookmarkEnd w:id="2"/>
      <w:r>
        <w:rPr>
          <w:rFonts w:hint="eastAsia" w:ascii="方正小标宋简体" w:eastAsia="方正小标宋简体"/>
          <w:sz w:val="36"/>
          <w:szCs w:val="36"/>
        </w:rPr>
        <w:t>细则</w:t>
      </w:r>
    </w:p>
    <w:p>
      <w:pPr>
        <w:spacing w:before="102" w:beforeLines="25" w:after="102" w:afterLines="25"/>
        <w:ind w:firstLine="643"/>
        <w:jc w:val="both"/>
        <w:rPr>
          <w:rFonts w:ascii="仿宋_GB2312" w:hAnsi="仿宋" w:cs="Times New Roman"/>
          <w:b/>
          <w:bCs/>
          <w:color w:val="000000"/>
          <w:szCs w:val="30"/>
        </w:rPr>
      </w:pPr>
      <w:r>
        <w:rPr>
          <w:rFonts w:hint="eastAsia" w:ascii="黑体" w:hAnsi="黑体" w:eastAsia="黑体" w:cs="Times New Roman"/>
          <w:b/>
          <w:bCs/>
          <w:color w:val="000000"/>
          <w:sz w:val="32"/>
          <w:szCs w:val="32"/>
        </w:rPr>
        <w:t>第一条</w:t>
      </w:r>
      <w:r>
        <w:rPr>
          <w:rFonts w:hint="eastAsia" w:ascii="仿宋_GB2312" w:hAnsi="仿宋" w:cs="Times New Roman"/>
          <w:b/>
          <w:bCs/>
          <w:color w:val="000000"/>
          <w:szCs w:val="30"/>
        </w:rPr>
        <w:t xml:space="preserve">  </w:t>
      </w:r>
      <w:r>
        <w:rPr>
          <w:rFonts w:hint="eastAsia" w:ascii="黑体" w:hAnsi="黑体" w:eastAsia="黑体" w:cs="Times New Roman"/>
          <w:b/>
          <w:bCs/>
          <w:color w:val="000000"/>
          <w:sz w:val="32"/>
          <w:szCs w:val="32"/>
        </w:rPr>
        <w:t>总则</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校团委根据全校各参评团支部的综合得分从高到低评选出</w:t>
      </w:r>
      <w:r>
        <w:rPr>
          <w:rFonts w:ascii="仿宋_GB2312" w:hAnsi="仿宋" w:cs="Times New Roman"/>
          <w:color w:val="000000"/>
          <w:sz w:val="28"/>
          <w:szCs w:val="28"/>
        </w:rPr>
        <w:t>4</w:t>
      </w:r>
      <w:r>
        <w:rPr>
          <w:rFonts w:hint="eastAsia" w:ascii="仿宋_GB2312" w:hAnsi="仿宋" w:cs="Times New Roman"/>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hint="eastAsia" w:ascii="仿宋_GB2312" w:hAnsi="仿宋" w:cs="Times New Roman"/>
          <w:color w:val="000000"/>
          <w:sz w:val="28"/>
          <w:szCs w:val="28"/>
        </w:rPr>
        <w:t>%＋团支部活力建设得分（百分制）×30%。</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第二条  申报材料的量化评分标准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（一）思想政治引领工作（</w:t>
      </w:r>
      <w:r>
        <w:rPr>
          <w:rFonts w:ascii="楷体_GB2312" w:hAnsi="仿宋" w:eastAsia="楷体_GB2312" w:cs="Times New Roman"/>
          <w:b/>
          <w:color w:val="000000"/>
          <w:szCs w:val="30"/>
        </w:rPr>
        <w:t>4</w:t>
      </w:r>
      <w:r>
        <w:rPr>
          <w:rFonts w:hint="eastAsia" w:ascii="楷体_GB2312" w:hAnsi="仿宋" w:eastAsia="楷体_GB2312" w:cs="Times New Roman"/>
          <w:b/>
          <w:color w:val="000000"/>
          <w:szCs w:val="30"/>
        </w:rPr>
        <w:t>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1.高举中国特色社会主义伟大旗帜,坚持以马克思列宁主义、毛泽东思想、邓小平理论、“三个代表”重要思想、科学发展观、习近平新时代中国特色社会主义思想为行动指南，围绕“</w:t>
      </w:r>
      <w:r>
        <w:rPr>
          <w:rFonts w:hint="eastAsia" w:ascii="仿宋_GB2312" w:hAnsi="仿宋" w:cs="Times New Roman"/>
          <w:color w:val="000000"/>
          <w:sz w:val="28"/>
          <w:szCs w:val="28"/>
        </w:rPr>
        <w:t>庆祝中国共产党成立100周年</w:t>
      </w:r>
      <w:r>
        <w:rPr>
          <w:rFonts w:hint="eastAsia" w:ascii="仿宋_GB2312" w:hAnsi="仿宋" w:cs="Times New Roman"/>
          <w:color w:val="000000"/>
          <w:sz w:val="28"/>
          <w:szCs w:val="28"/>
        </w:rPr>
        <w:t>”</w:t>
      </w:r>
      <w:r>
        <w:rPr>
          <w:rFonts w:hint="eastAsia" w:ascii="仿宋_GB2312" w:hAnsi="仿宋" w:cs="Times New Roman"/>
          <w:color w:val="000000"/>
          <w:sz w:val="28"/>
          <w:szCs w:val="28"/>
        </w:rPr>
        <w:t>等主题，持续创新开展“青年大学习”“四进四信”“百生讲坛”“三下乡”寒暑期社会实践等思想引领主题教育实践活动。（15分）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Pr>
          <w:rFonts w:ascii="仿宋_GB2312" w:hAnsi="仿宋" w:cs="Times New Roman"/>
          <w:color w:val="000000"/>
          <w:sz w:val="28"/>
          <w:szCs w:val="28"/>
        </w:rPr>
        <w:t>团结引领广大团员青年为坚持和完善中国特色社会主义制度、推进国家治理体系和治理能力现代化贡献</w:t>
      </w:r>
      <w:r>
        <w:rPr>
          <w:rFonts w:hint="eastAsia" w:ascii="仿宋_GB2312" w:hAnsi="仿宋" w:cs="Times New Roman"/>
          <w:color w:val="000000"/>
          <w:sz w:val="28"/>
          <w:szCs w:val="28"/>
        </w:rPr>
        <w:t>力量。（</w:t>
      </w:r>
      <w:r>
        <w:rPr>
          <w:rFonts w:ascii="仿宋_GB2312" w:hAnsi="仿宋" w:cs="Times New Roman"/>
          <w:color w:val="000000"/>
          <w:sz w:val="28"/>
          <w:szCs w:val="28"/>
        </w:rPr>
        <w:t>1</w:t>
      </w:r>
      <w:r>
        <w:rPr>
          <w:rFonts w:hint="eastAsia" w:ascii="仿宋_GB2312" w:hAnsi="仿宋" w:cs="Times New Roman"/>
          <w:color w:val="000000"/>
          <w:sz w:val="28"/>
          <w:szCs w:val="28"/>
        </w:rPr>
        <w:t>5</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3</w:t>
      </w:r>
      <w:r>
        <w:rPr>
          <w:rFonts w:hint="eastAsia" w:ascii="仿宋_GB2312" w:hAnsi="仿宋" w:cs="Times New Roman"/>
          <w:color w:val="000000"/>
          <w:sz w:val="28"/>
          <w:szCs w:val="28"/>
        </w:rPr>
        <w:t>.精准把握支部成员的思想动态和成长需求，引导支部成员积极围绕学校、学院和支部的中心工作，在学校“双一流”学科建设、全面深化综合改革中献言献策、建功立业。（</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（二）组织工作（30分）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1.将《中国共产主义青年团支部工作条例（试行）》作为基本遵</w:t>
      </w:r>
      <w:r>
        <w:rPr>
          <w:rFonts w:hint="eastAsia" w:ascii="仿宋_GB2312" w:hAnsi="仿宋" w:cs="Times New Roman"/>
          <w:color w:val="000000"/>
          <w:sz w:val="28"/>
          <w:szCs w:val="28"/>
        </w:rPr>
        <w:t>循，落实上级团组织的各项工作要求，认真做好“三会两制一课”、“团组织推优入党”、“智慧团建”等基础团务工作，有序组织团员青年参与支部活动，在团员青年中具有较高的影响力、号召力，获得师生较好评价。（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2.严肃团的组织生活纪律</w:t>
      </w:r>
      <w:r>
        <w:rPr>
          <w:rFonts w:hint="eastAsia" w:ascii="仿宋_GB2312" w:hAnsi="仿宋" w:cs="Times New Roman"/>
          <w:color w:val="000000"/>
          <w:sz w:val="28"/>
          <w:szCs w:val="28"/>
        </w:rPr>
        <w:t>，积极</w:t>
      </w:r>
      <w:r>
        <w:rPr>
          <w:rFonts w:hint="eastAsia" w:ascii="仿宋_GB2312" w:hAnsi="仿宋" w:cs="Times New Roman"/>
          <w:color w:val="000000"/>
          <w:sz w:val="28"/>
          <w:szCs w:val="28"/>
        </w:rPr>
        <w:t>创新团</w:t>
      </w:r>
      <w:r>
        <w:rPr>
          <w:rFonts w:hint="eastAsia" w:ascii="仿宋_GB2312" w:hAnsi="仿宋" w:cs="Times New Roman"/>
          <w:color w:val="000000"/>
          <w:sz w:val="28"/>
          <w:szCs w:val="28"/>
        </w:rPr>
        <w:t>的组织生活方式，严格团员日常教育管理，</w:t>
      </w:r>
      <w:r>
        <w:rPr>
          <w:rFonts w:hint="eastAsia" w:ascii="仿宋_GB2312" w:hAnsi="仿宋" w:cs="Times New Roman"/>
          <w:color w:val="000000"/>
          <w:sz w:val="28"/>
          <w:szCs w:val="28"/>
        </w:rPr>
        <w:t>注重创新工作方式和运转机制，有效发挥团支部服务青年、引领青年的纽带作用</w:t>
      </w:r>
      <w:r>
        <w:rPr>
          <w:rFonts w:hint="eastAsia" w:ascii="仿宋_GB2312" w:hAnsi="仿宋" w:cs="Times New Roman"/>
          <w:color w:val="000000"/>
          <w:sz w:val="28"/>
          <w:szCs w:val="28"/>
        </w:rPr>
        <w:t>。</w:t>
      </w:r>
      <w:r>
        <w:rPr>
          <w:rFonts w:hint="eastAsia" w:ascii="仿宋_GB2312" w:hAnsi="仿宋" w:cs="Times New Roman"/>
          <w:color w:val="000000"/>
          <w:sz w:val="28"/>
          <w:szCs w:val="28"/>
        </w:rPr>
        <w:t>创新</w:t>
      </w:r>
      <w:r>
        <w:rPr>
          <w:rFonts w:hint="eastAsia" w:ascii="仿宋_GB2312" w:hAnsi="仿宋" w:cs="Times New Roman"/>
          <w:color w:val="000000"/>
          <w:sz w:val="28"/>
          <w:szCs w:val="28"/>
        </w:rPr>
        <w:t>升级团学</w:t>
      </w:r>
      <w:r>
        <w:rPr>
          <w:rFonts w:hint="eastAsia" w:ascii="仿宋_GB2312" w:hAnsi="仿宋" w:cs="Times New Roman"/>
          <w:color w:val="000000"/>
          <w:sz w:val="28"/>
          <w:szCs w:val="28"/>
        </w:rPr>
        <w:t>活动形式，将“中国梦”教育、社会主义核心价值观、新时代中国青年的使命与担当等内容以青年学子喜闻</w:t>
      </w:r>
      <w:r>
        <w:rPr>
          <w:rFonts w:hint="eastAsia" w:ascii="仿宋_GB2312" w:hAnsi="仿宋" w:cs="Times New Roman"/>
          <w:color w:val="000000"/>
          <w:sz w:val="28"/>
          <w:szCs w:val="28"/>
        </w:rPr>
        <w:t>乐见的形式有效地</w:t>
      </w:r>
      <w:r>
        <w:rPr>
          <w:rFonts w:hint="eastAsia" w:ascii="仿宋_GB2312" w:hAnsi="仿宋" w:cs="Times New Roman"/>
          <w:color w:val="000000"/>
          <w:sz w:val="28"/>
          <w:szCs w:val="28"/>
        </w:rPr>
        <w:t>融入到各类支部活动中。</w:t>
      </w:r>
      <w:r>
        <w:rPr>
          <w:rFonts w:hint="eastAsia" w:ascii="仿宋_GB2312" w:hAnsi="仿宋" w:cs="Times New Roman"/>
          <w:color w:val="000000"/>
          <w:sz w:val="28"/>
          <w:szCs w:val="28"/>
        </w:rPr>
        <w:t>（10分）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3.支部机构设置规范有序、换届考评制度完善健全，</w:t>
      </w:r>
      <w:r>
        <w:rPr>
          <w:rFonts w:hint="eastAsia" w:ascii="仿宋_GB2312" w:hAnsi="仿宋" w:cs="Times New Roman"/>
          <w:color w:val="000000"/>
          <w:sz w:val="28"/>
          <w:szCs w:val="28"/>
        </w:rPr>
        <w:t>部门设置及职责分工科学合理</w:t>
      </w:r>
      <w:r>
        <w:rPr>
          <w:rFonts w:hint="eastAsia" w:ascii="仿宋_GB2312" w:hAnsi="仿宋" w:cs="Times New Roman"/>
          <w:color w:val="000000"/>
          <w:sz w:val="28"/>
          <w:szCs w:val="28"/>
        </w:rPr>
        <w:t>，各项工作均能有序开展。支部干部换届及时，换届程序、方法合理，换届过程公正、公平、公开。（10分）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（三）宣传工作（</w:t>
      </w:r>
      <w:r>
        <w:rPr>
          <w:rFonts w:ascii="楷体_GB2312" w:hAnsi="仿宋" w:eastAsia="楷体_GB2312" w:cs="Times New Roman"/>
          <w:b/>
          <w:color w:val="000000"/>
          <w:szCs w:val="30"/>
        </w:rPr>
        <w:t>3</w:t>
      </w:r>
      <w:r>
        <w:rPr>
          <w:rFonts w:hint="eastAsia" w:ascii="楷体_GB2312" w:hAnsi="仿宋" w:eastAsia="楷体_GB2312" w:cs="Times New Roman"/>
          <w:b/>
          <w:color w:val="000000"/>
          <w:szCs w:val="30"/>
        </w:rPr>
        <w:t>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1.积极开展线上线下“青年大学习”活动，支部成员积极参</w:t>
      </w:r>
      <w:r>
        <w:rPr>
          <w:rFonts w:hint="eastAsia" w:ascii="仿宋_GB2312" w:hAnsi="仿宋" w:cs="Times New Roman"/>
          <w:color w:val="000000"/>
          <w:sz w:val="28"/>
          <w:szCs w:val="28"/>
        </w:rPr>
        <w:t>加</w:t>
      </w:r>
      <w:r>
        <w:rPr>
          <w:rFonts w:hint="eastAsia" w:ascii="仿宋_GB2312" w:hAnsi="仿宋" w:cs="Times New Roman"/>
          <w:color w:val="000000"/>
          <w:sz w:val="28"/>
          <w:szCs w:val="28"/>
        </w:rPr>
        <w:t>“青年大学习”线上主题教育活动，支部学习参与率高。（15分）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2.团结带领支部成员在思想引领、学术科研、社会实践、志愿服务、创新创业等方面积极探索创新，形成良好的支部文化，产生积极影响，有较好的示范作用和宣传效果。（</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w:t>
      </w:r>
      <w:r>
        <w:rPr>
          <w:rFonts w:hint="eastAsia" w:ascii="仿宋_GB2312" w:hAnsi="仿宋" w:cs="Times New Roman"/>
          <w:color w:val="000000"/>
          <w:sz w:val="28"/>
          <w:szCs w:val="28"/>
        </w:rPr>
        <w:t>积极宣传推广支部特色活动、支部工作经验和支部优秀团员典型，向校内外新媒体平台积极投稿，形成特色做法并有一定社会影响。（5分）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第三条  基础团</w:t>
      </w:r>
      <w:r>
        <w:rPr>
          <w:rFonts w:hint="eastAsia" w:ascii="黑体" w:hAnsi="黑体" w:eastAsia="黑体" w:cs="Times New Roman"/>
          <w:b/>
          <w:bCs/>
          <w:color w:val="000000"/>
          <w:sz w:val="32"/>
          <w:szCs w:val="32"/>
        </w:rPr>
        <w:t>务</w:t>
      </w:r>
      <w:r>
        <w:rPr>
          <w:rFonts w:hint="eastAsia" w:ascii="黑体" w:hAnsi="黑体" w:eastAsia="黑体" w:cs="Times New Roman"/>
          <w:b/>
          <w:bCs/>
          <w:color w:val="000000"/>
          <w:sz w:val="32"/>
          <w:szCs w:val="32"/>
        </w:rPr>
        <w:t>工作量化评分标准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（一）三会两制一课（30分）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r>
        <w:rPr>
          <w:rFonts w:hint="eastAsia" w:ascii="仿宋_GB2312" w:hAnsi="仿宋" w:cs="Times New Roman"/>
          <w:color w:val="000000"/>
          <w:sz w:val="28"/>
          <w:szCs w:val="28"/>
        </w:rPr>
        <w:t>账</w:t>
      </w:r>
      <w:r>
        <w:rPr>
          <w:rFonts w:hint="eastAsia" w:ascii="仿宋_GB2312" w:hAnsi="仿宋" w:cs="Times New Roman"/>
          <w:color w:val="000000"/>
          <w:sz w:val="28"/>
          <w:szCs w:val="28"/>
        </w:rPr>
        <w:t>完整。（15分）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团支部结合重点工作，每3个月至少开展1次支部大会，每月至少开展</w:t>
      </w:r>
      <w:r>
        <w:rPr>
          <w:rFonts w:ascii="仿宋_GB2312" w:hAnsi="仿宋" w:cs="Times New Roman"/>
          <w:color w:val="000000"/>
          <w:sz w:val="28"/>
          <w:szCs w:val="28"/>
        </w:rPr>
        <w:t>1次</w:t>
      </w:r>
      <w:r>
        <w:rPr>
          <w:rFonts w:hint="eastAsia" w:ascii="仿宋_GB2312" w:hAnsi="仿宋" w:cs="Times New Roman"/>
          <w:color w:val="000000"/>
          <w:sz w:val="28"/>
          <w:szCs w:val="28"/>
        </w:rPr>
        <w:t>支部委员会、1次</w:t>
      </w:r>
      <w:r>
        <w:rPr>
          <w:rFonts w:ascii="仿宋_GB2312" w:hAnsi="仿宋" w:cs="Times New Roman"/>
          <w:color w:val="000000"/>
          <w:sz w:val="28"/>
          <w:szCs w:val="28"/>
        </w:rPr>
        <w:t>主题团日</w:t>
      </w:r>
      <w:r>
        <w:rPr>
          <w:rFonts w:hint="eastAsia" w:ascii="仿宋_GB2312" w:hAnsi="仿宋" w:cs="Times New Roman"/>
          <w:color w:val="000000"/>
          <w:sz w:val="28"/>
          <w:szCs w:val="28"/>
        </w:rPr>
        <w:t>活动。</w:t>
      </w:r>
      <w:r>
        <w:rPr>
          <w:rFonts w:ascii="仿宋_GB2312" w:hAnsi="仿宋" w:cs="Times New Roman"/>
          <w:color w:val="000000"/>
          <w:sz w:val="28"/>
          <w:szCs w:val="28"/>
        </w:rPr>
        <w:t>每年</w:t>
      </w:r>
      <w:r>
        <w:rPr>
          <w:rFonts w:hint="eastAsia" w:ascii="仿宋_GB2312" w:hAnsi="仿宋" w:cs="Times New Roman"/>
          <w:color w:val="000000"/>
          <w:sz w:val="28"/>
          <w:szCs w:val="28"/>
        </w:rPr>
        <w:t>在团支部委员之</w:t>
      </w:r>
      <w:r>
        <w:rPr>
          <w:rFonts w:hint="eastAsia" w:ascii="仿宋_GB2312" w:hAnsi="仿宋" w:cs="Times New Roman"/>
          <w:color w:val="000000"/>
          <w:sz w:val="28"/>
          <w:szCs w:val="28"/>
        </w:rPr>
        <w:t>间、团支部委员和团员之间、团员和团员之间至少开展1次谈心谈话，1次</w:t>
      </w:r>
      <w:r>
        <w:rPr>
          <w:rFonts w:ascii="仿宋_GB2312" w:hAnsi="仿宋" w:cs="Times New Roman"/>
          <w:color w:val="000000"/>
          <w:sz w:val="28"/>
          <w:szCs w:val="28"/>
        </w:rPr>
        <w:t>团员教育评议工作</w:t>
      </w:r>
      <w:r>
        <w:rPr>
          <w:rFonts w:hint="eastAsia" w:ascii="仿宋_GB2312" w:hAnsi="仿宋" w:cs="Times New Roman"/>
          <w:color w:val="000000"/>
          <w:sz w:val="28"/>
          <w:szCs w:val="28"/>
        </w:rPr>
        <w:t>和1次</w:t>
      </w:r>
      <w:r>
        <w:rPr>
          <w:rFonts w:ascii="仿宋_GB2312" w:hAnsi="仿宋" w:cs="Times New Roman"/>
          <w:color w:val="000000"/>
          <w:sz w:val="28"/>
          <w:szCs w:val="28"/>
        </w:rPr>
        <w:t>团员年度团籍注册工作。</w:t>
      </w:r>
      <w:r>
        <w:rPr>
          <w:rFonts w:hint="eastAsia" w:ascii="仿宋_GB2312" w:hAnsi="仿宋" w:cs="Times New Roman"/>
          <w:color w:val="000000"/>
          <w:sz w:val="28"/>
          <w:szCs w:val="28"/>
        </w:rPr>
        <w:t>（</w:t>
      </w:r>
      <w:r>
        <w:rPr>
          <w:rFonts w:ascii="仿宋_GB2312" w:hAnsi="仿宋" w:cs="Times New Roman"/>
          <w:color w:val="000000"/>
          <w:sz w:val="28"/>
          <w:szCs w:val="28"/>
        </w:rPr>
        <w:t>1</w:t>
      </w:r>
      <w:r>
        <w:rPr>
          <w:rFonts w:hint="eastAsia" w:ascii="仿宋_GB2312" w:hAnsi="仿宋" w:cs="Times New Roman"/>
          <w:color w:val="000000"/>
          <w:sz w:val="28"/>
          <w:szCs w:val="28"/>
        </w:rPr>
        <w:t>5分）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（二）智慧团建工作（20分）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1.按照上级要求推进基层团组织规范化建设，熟练掌握“智慧团建”系统相关操作，团支部所属团员、团干部基本信息应均已登录“智慧团建”系统，切实做好各项团组织关系转接工作。（1</w:t>
      </w:r>
      <w:r>
        <w:rPr>
          <w:rFonts w:ascii="仿宋_GB2312" w:hAnsi="仿宋" w:cs="Times New Roman"/>
          <w:color w:val="000000"/>
          <w:sz w:val="28"/>
          <w:szCs w:val="28"/>
        </w:rPr>
        <w:t>0分</w:t>
      </w:r>
      <w:r>
        <w:rPr>
          <w:rFonts w:hint="eastAsia" w:ascii="仿宋_GB2312" w:hAnsi="仿宋" w:cs="Times New Roman"/>
          <w:color w:val="000000"/>
          <w:sz w:val="28"/>
          <w:szCs w:val="28"/>
        </w:rPr>
        <w:t>）</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规范落实团支部整理整顿工作，按时提交《团支部规范化建设情况信息表》，及时开展“智慧团建”团支部整理整顿工作，按时提交“团支部自检表”，推进团支部整理整顿成效明显。（</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（三）班团一体化工作（30分）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r>
        <w:rPr>
          <w:rFonts w:hint="eastAsia" w:ascii="仿宋_GB2312" w:hAnsi="仿宋" w:cs="Times New Roman"/>
          <w:color w:val="000000"/>
          <w:sz w:val="28"/>
          <w:szCs w:val="28"/>
        </w:rPr>
        <w:t>夯实团</w:t>
      </w:r>
      <w:r>
        <w:rPr>
          <w:rFonts w:hint="eastAsia" w:ascii="仿宋_GB2312" w:hAnsi="仿宋" w:cs="Times New Roman"/>
          <w:color w:val="000000"/>
          <w:sz w:val="28"/>
          <w:szCs w:val="28"/>
        </w:rPr>
        <w:t>的基层基础工作，提升团支部活力。（1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团支部委员会、班干部成员思想政治好，工作责任心强，认真落实上级团组织部署安排，扎实有效开展团支部工作，在支部团员青年中有较高的认可度。（</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w:t>
      </w:r>
      <w:r>
        <w:rPr>
          <w:rFonts w:ascii="仿宋_GB2312" w:hAnsi="仿宋" w:cs="Times New Roman"/>
          <w:color w:val="000000"/>
          <w:sz w:val="28"/>
          <w:szCs w:val="28"/>
        </w:rPr>
        <w:t>.</w:t>
      </w:r>
      <w:r>
        <w:rPr>
          <w:rFonts w:hint="eastAsia" w:ascii="仿宋_GB2312" w:hAnsi="仿宋" w:cs="Times New Roman"/>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Pr>
          <w:rFonts w:ascii="仿宋_GB2312" w:hAnsi="仿宋" w:cs="Times New Roman"/>
          <w:color w:val="000000"/>
          <w:sz w:val="28"/>
          <w:szCs w:val="28"/>
        </w:rPr>
        <w:t>1</w:t>
      </w:r>
      <w:r>
        <w:rPr>
          <w:rFonts w:hint="eastAsia" w:ascii="仿宋_GB2312" w:hAnsi="仿宋" w:cs="Times New Roman"/>
          <w:color w:val="000000"/>
          <w:sz w:val="28"/>
          <w:szCs w:val="28"/>
        </w:rPr>
        <w:t>0分）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（四）第二课堂工作（20分）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w:t>
      </w:r>
      <w:r>
        <w:rPr>
          <w:rFonts w:ascii="仿宋_GB2312" w:hAnsi="仿宋" w:cs="Times New Roman"/>
          <w:color w:val="000000"/>
          <w:sz w:val="28"/>
          <w:szCs w:val="28"/>
        </w:rPr>
        <w:t>.</w:t>
      </w:r>
      <w:r>
        <w:rPr>
          <w:rFonts w:hint="eastAsia" w:ascii="仿宋_GB2312" w:hAnsi="仿宋" w:cs="Times New Roman"/>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发挥团支部优势，引导支部成员坚持学业为主的同时结合自己的兴趣、特长、能力和成长需求，积极参加校内外团组织开展的第二</w:t>
      </w:r>
      <w:r>
        <w:rPr>
          <w:rFonts w:hint="eastAsia" w:ascii="仿宋_GB2312" w:hAnsi="仿宋" w:cs="Times New Roman"/>
          <w:color w:val="000000"/>
          <w:sz w:val="28"/>
          <w:szCs w:val="28"/>
        </w:rPr>
        <w:t>课堂团学活动</w:t>
      </w:r>
      <w:r>
        <w:rPr>
          <w:rFonts w:hint="eastAsia" w:ascii="仿宋_GB2312" w:hAnsi="仿宋" w:cs="Times New Roman"/>
          <w:color w:val="000000"/>
          <w:sz w:val="28"/>
          <w:szCs w:val="28"/>
        </w:rPr>
        <w:t>。（1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 xml:space="preserve">第四条 </w:t>
      </w:r>
      <w:r>
        <w:rPr>
          <w:rFonts w:ascii="黑体" w:hAnsi="黑体" w:eastAsia="黑体" w:cs="Times New Roman"/>
          <w:b/>
          <w:bCs/>
          <w:color w:val="000000"/>
          <w:sz w:val="32"/>
          <w:szCs w:val="32"/>
        </w:rPr>
        <w:t xml:space="preserve"> </w:t>
      </w:r>
      <w:r>
        <w:rPr>
          <w:rFonts w:hint="eastAsia" w:ascii="黑体" w:hAnsi="黑体" w:eastAsia="黑体" w:cs="Times New Roman"/>
          <w:b/>
          <w:bCs/>
          <w:color w:val="000000"/>
          <w:sz w:val="32"/>
          <w:szCs w:val="32"/>
        </w:rPr>
        <w:t>团支部活力建设量化评分标准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（一）团日活动（70分）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结合上级团组织要求与工作实际，积极开展主题团日活动，团日活动记录表能及时更新并按时上交，材料填写格式符合要求。（10分）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团日活动主题紧贴团日活动指南，内容丰富、形式新颖、具备学科特色，时间与空间安排灵活合理。（10分）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3.团日活动记录表内容完备详实，图文并茂，能够切实反映团日活动开展情况，并有丰富的多媒体材料支撑。（10分）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hint="eastAsia" w:ascii="仿宋_GB2312" w:hAnsi="仿宋" w:cs="Times New Roman"/>
          <w:color w:val="000000"/>
          <w:sz w:val="28"/>
          <w:szCs w:val="28"/>
        </w:rPr>
        <w:t>团日活动能够达到预期效果，起到凝聚团员、教育团员的作用，得到了支部成员的良好反响。（</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5</w:t>
      </w:r>
      <w:r>
        <w:rPr>
          <w:rFonts w:ascii="仿宋_GB2312" w:hAnsi="仿宋" w:cs="Times New Roman"/>
          <w:color w:val="000000"/>
          <w:sz w:val="28"/>
          <w:szCs w:val="28"/>
        </w:rPr>
        <w:t>.</w:t>
      </w:r>
      <w:r>
        <w:rPr>
          <w:rFonts w:hint="eastAsia" w:ascii="仿宋_GB2312" w:hAnsi="仿宋" w:cs="Times New Roman"/>
          <w:color w:val="000000"/>
          <w:sz w:val="28"/>
          <w:szCs w:val="28"/>
        </w:rPr>
        <w:t>团支部委员会成员主动发挥先锋模范引领作用，充分调动支部成员积极性，团日活动团员参与率达到</w:t>
      </w:r>
      <w:r>
        <w:rPr>
          <w:rFonts w:ascii="仿宋_GB2312" w:hAnsi="仿宋" w:cs="Times New Roman"/>
          <w:color w:val="000000"/>
          <w:sz w:val="28"/>
          <w:szCs w:val="28"/>
        </w:rPr>
        <w:t>90%</w:t>
      </w:r>
      <w:r>
        <w:rPr>
          <w:rFonts w:hint="eastAsia" w:ascii="仿宋_GB2312" w:hAnsi="仿宋" w:cs="Times New Roman"/>
          <w:color w:val="000000"/>
          <w:sz w:val="28"/>
          <w:szCs w:val="28"/>
        </w:rPr>
        <w:t>及以上。（1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6.团支部自20</w:t>
      </w:r>
      <w:r>
        <w:rPr>
          <w:rFonts w:hint="eastAsia" w:ascii="仿宋_GB2312" w:hAnsi="仿宋" w:cs="Times New Roman"/>
          <w:color w:val="000000"/>
          <w:sz w:val="28"/>
          <w:szCs w:val="28"/>
        </w:rPr>
        <w:t>20</w:t>
      </w:r>
      <w:r>
        <w:rPr>
          <w:rFonts w:hint="eastAsia" w:ascii="仿宋_GB2312" w:hAnsi="仿宋" w:cs="Times New Roman"/>
          <w:color w:val="000000"/>
          <w:sz w:val="28"/>
          <w:szCs w:val="28"/>
        </w:rPr>
        <w:t>年4月以来团日活动次数达6次及以上计</w:t>
      </w:r>
      <w:r>
        <w:rPr>
          <w:rFonts w:ascii="仿宋_GB2312" w:hAnsi="仿宋" w:cs="Times New Roman"/>
          <w:color w:val="000000"/>
          <w:sz w:val="28"/>
          <w:szCs w:val="28"/>
        </w:rPr>
        <w:t>20</w:t>
      </w:r>
      <w:r>
        <w:rPr>
          <w:rFonts w:hint="eastAsia" w:ascii="仿宋_GB2312" w:hAnsi="仿宋" w:cs="Times New Roman"/>
          <w:color w:val="000000"/>
          <w:sz w:val="28"/>
          <w:szCs w:val="28"/>
        </w:rPr>
        <w:t>分，</w:t>
      </w:r>
      <w:r>
        <w:rPr>
          <w:rFonts w:ascii="仿宋_GB2312" w:hAnsi="仿宋" w:cs="Times New Roman"/>
          <w:color w:val="000000"/>
          <w:sz w:val="28"/>
          <w:szCs w:val="28"/>
        </w:rPr>
        <w:t>4</w:t>
      </w:r>
      <w:r>
        <w:rPr>
          <w:rFonts w:hint="eastAsia" w:ascii="仿宋_GB2312" w:hAnsi="仿宋" w:cs="Times New Roman"/>
          <w:color w:val="000000"/>
          <w:sz w:val="28"/>
          <w:szCs w:val="28"/>
        </w:rPr>
        <w:t>次及以上计1</w:t>
      </w:r>
      <w:r>
        <w:rPr>
          <w:rFonts w:ascii="仿宋_GB2312" w:hAnsi="仿宋" w:cs="Times New Roman"/>
          <w:color w:val="000000"/>
          <w:sz w:val="28"/>
          <w:szCs w:val="28"/>
        </w:rPr>
        <w:t>5</w:t>
      </w:r>
      <w:r>
        <w:rPr>
          <w:rFonts w:hint="eastAsia" w:ascii="仿宋_GB2312" w:hAnsi="仿宋" w:cs="Times New Roman"/>
          <w:color w:val="000000"/>
          <w:sz w:val="28"/>
          <w:szCs w:val="28"/>
        </w:rPr>
        <w:t>分，2次及以上计</w:t>
      </w:r>
      <w:r>
        <w:rPr>
          <w:rFonts w:ascii="仿宋_GB2312" w:hAnsi="仿宋" w:cs="Times New Roman"/>
          <w:color w:val="000000"/>
          <w:sz w:val="28"/>
          <w:szCs w:val="28"/>
        </w:rPr>
        <w:t>10</w:t>
      </w:r>
      <w:r>
        <w:rPr>
          <w:rFonts w:hint="eastAsia" w:ascii="仿宋_GB2312" w:hAnsi="仿宋" w:cs="Times New Roman"/>
          <w:color w:val="000000"/>
          <w:sz w:val="28"/>
          <w:szCs w:val="28"/>
        </w:rPr>
        <w:t>分，2次以下计5分，不举办不得分。（2</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（二）</w:t>
      </w:r>
      <w:bookmarkStart w:id="3" w:name="_Hlk67222508"/>
      <w:r>
        <w:rPr>
          <w:rFonts w:hint="eastAsia" w:ascii="楷体_GB2312" w:hAnsi="仿宋" w:eastAsia="楷体_GB2312" w:cs="Times New Roman"/>
          <w:b/>
          <w:bCs/>
          <w:color w:val="000000"/>
          <w:szCs w:val="30"/>
        </w:rPr>
        <w:t>“学‘四史’、守初心、担使命”</w:t>
      </w:r>
      <w:bookmarkEnd w:id="3"/>
      <w:r>
        <w:rPr>
          <w:rFonts w:hint="eastAsia" w:ascii="楷体_GB2312" w:hAnsi="仿宋" w:eastAsia="楷体_GB2312" w:cs="Times New Roman"/>
          <w:b/>
          <w:bCs/>
          <w:color w:val="000000"/>
          <w:szCs w:val="30"/>
        </w:rPr>
        <w:t>专项（10分）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（三）“俭以养德、节约为荣”</w:t>
      </w:r>
      <w:r>
        <w:rPr>
          <w:rFonts w:hint="eastAsia" w:ascii="楷体_GB2312" w:hAnsi="仿宋" w:eastAsia="楷体_GB2312" w:cs="Times New Roman"/>
          <w:b/>
          <w:bCs/>
          <w:color w:val="000000"/>
          <w:szCs w:val="30"/>
        </w:rPr>
        <w:t>劳</w:t>
      </w:r>
      <w:r>
        <w:rPr>
          <w:rFonts w:hint="eastAsia" w:ascii="楷体_GB2312" w:hAnsi="仿宋" w:eastAsia="楷体_GB2312" w:cs="Times New Roman"/>
          <w:b/>
          <w:bCs/>
          <w:color w:val="000000"/>
          <w:szCs w:val="30"/>
        </w:rPr>
        <w:t>育专项（10分</w:t>
      </w:r>
      <w:r>
        <w:rPr>
          <w:rFonts w:hint="eastAsia" w:ascii="楷体_GB2312" w:hAnsi="仿宋" w:eastAsia="楷体_GB2312" w:cs="Times New Roman"/>
          <w:b/>
          <w:bCs/>
          <w:color w:val="000000"/>
          <w:szCs w:val="30"/>
        </w:rPr>
        <w:t>）</w:t>
      </w:r>
    </w:p>
    <w:p>
      <w:pPr>
        <w:ind w:firstLine="560"/>
        <w:jc w:val="both"/>
        <w:rPr>
          <w:rFonts w:ascii="楷体_GB2312" w:hAnsi="仿宋" w:eastAsia="楷体_GB2312" w:cs="Times New Roman"/>
          <w:b/>
          <w:bCs/>
          <w:color w:val="000000"/>
          <w:szCs w:val="30"/>
        </w:rPr>
      </w:pPr>
      <w:r>
        <w:rPr>
          <w:rFonts w:hint="eastAsia" w:ascii="仿宋_GB2312" w:hAnsi="仿宋" w:cs="Times New Roman"/>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（四）“党的十九届五中全会精神学习”专项（10分）</w:t>
      </w:r>
    </w:p>
    <w:p>
      <w:pPr>
        <w:ind w:firstLine="560"/>
        <w:jc w:val="both"/>
        <w:rPr>
          <w:rFonts w:ascii="仿宋_GB2312" w:hAnsi="仿宋" w:cs="Times New Roman"/>
          <w:color w:val="000000"/>
          <w:sz w:val="28"/>
          <w:szCs w:val="28"/>
          <w:highlight w:val="yellow"/>
        </w:rPr>
      </w:pPr>
      <w:r>
        <w:rPr>
          <w:rFonts w:hint="eastAsia" w:ascii="仿宋_GB2312" w:hAnsi="仿宋" w:cs="Times New Roman"/>
          <w:color w:val="000000"/>
          <w:sz w:val="28"/>
          <w:szCs w:val="28"/>
        </w:rPr>
        <w:t>认真组织开展“党的十九届五中精神学习”特别主题团日活动，</w:t>
      </w:r>
      <w:r>
        <w:rPr>
          <w:rFonts w:hint="eastAsia" w:ascii="仿宋_GB2312"/>
          <w:color w:val="333333"/>
          <w:sz w:val="29"/>
          <w:szCs w:val="29"/>
          <w:shd w:val="clear" w:color="auto" w:fill="FFFFFF"/>
        </w:rPr>
        <w:t>通过支部组织生活会、学习讨论、座谈研讨、征文演讲等方式进行</w:t>
      </w:r>
      <w:r>
        <w:rPr>
          <w:rFonts w:hint="eastAsia" w:ascii="仿宋_GB2312"/>
          <w:color w:val="333333"/>
          <w:sz w:val="29"/>
          <w:szCs w:val="29"/>
          <w:shd w:val="clear" w:color="auto" w:fill="FFFFFF"/>
        </w:rPr>
        <w:t>形式多样的学习教育活动，深入贯彻落实党的十九届五中全会精神，</w:t>
      </w:r>
      <w:r>
        <w:rPr>
          <w:rFonts w:hint="eastAsia" w:ascii="仿宋_GB2312"/>
          <w:color w:val="000000"/>
          <w:sz w:val="29"/>
          <w:szCs w:val="29"/>
          <w:shd w:val="clear" w:color="auto" w:fill="FFFFFF"/>
        </w:rPr>
        <w:t>聆听青春故事，学习先进思想，</w:t>
      </w:r>
      <w:r>
        <w:rPr>
          <w:rFonts w:hint="eastAsia" w:ascii="仿宋_GB2312"/>
          <w:color w:val="333333"/>
          <w:sz w:val="29"/>
          <w:szCs w:val="29"/>
          <w:shd w:val="clear" w:color="auto" w:fill="FFFFFF"/>
        </w:rPr>
        <w:t>让党的重要先进思想内化于心、外化于行。</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第五条  附加项</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如有以下情况，可在原有100分满分基础上另行加分，作为附加分：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w:t>
      </w:r>
      <w:r>
        <w:rPr>
          <w:rFonts w:hint="eastAsia" w:ascii="仿宋_GB2312" w:hAnsi="仿宋" w:cs="Times New Roman"/>
          <w:color w:val="000000"/>
          <w:sz w:val="28"/>
          <w:szCs w:val="28"/>
        </w:rPr>
        <w:t>支部本学年在校级及以上级别各类活动中获奖。（</w:t>
      </w:r>
      <w:r>
        <w:rPr>
          <w:rFonts w:hint="eastAsia" w:ascii="仿宋_GB2312" w:hAnsi="仿宋" w:cs="Times New Roman"/>
          <w:color w:val="000000"/>
          <w:sz w:val="28"/>
          <w:szCs w:val="28"/>
        </w:rPr>
        <w:t>国家级加</w:t>
      </w:r>
      <w:r>
        <w:rPr>
          <w:rFonts w:ascii="仿宋_GB2312" w:hAnsi="仿宋" w:cs="Times New Roman"/>
          <w:color w:val="000000"/>
          <w:sz w:val="28"/>
          <w:szCs w:val="28"/>
        </w:rPr>
        <w:t>5</w:t>
      </w:r>
      <w:r>
        <w:rPr>
          <w:rFonts w:hint="eastAsia" w:ascii="仿宋_GB2312" w:hAnsi="仿宋" w:cs="Times New Roman"/>
          <w:color w:val="000000"/>
          <w:sz w:val="28"/>
          <w:szCs w:val="28"/>
        </w:rPr>
        <w:t>分，省级加</w:t>
      </w:r>
      <w:r>
        <w:rPr>
          <w:rFonts w:ascii="仿宋_GB2312" w:hAnsi="仿宋" w:cs="Times New Roman"/>
          <w:color w:val="000000"/>
          <w:sz w:val="28"/>
          <w:szCs w:val="28"/>
        </w:rPr>
        <w:t>3</w:t>
      </w:r>
      <w:r>
        <w:rPr>
          <w:rFonts w:hint="eastAsia" w:ascii="仿宋_GB2312" w:hAnsi="仿宋" w:cs="Times New Roman"/>
          <w:color w:val="000000"/>
          <w:sz w:val="28"/>
          <w:szCs w:val="28"/>
        </w:rPr>
        <w:t>分，</w:t>
      </w:r>
      <w:r>
        <w:rPr>
          <w:rFonts w:hint="eastAsia" w:ascii="仿宋_GB2312" w:hAnsi="仿宋" w:cs="Times New Roman"/>
          <w:color w:val="000000"/>
          <w:sz w:val="28"/>
          <w:szCs w:val="28"/>
        </w:rPr>
        <w:t>市区级加2分</w:t>
      </w:r>
      <w:r>
        <w:rPr>
          <w:rFonts w:hint="eastAsia" w:ascii="仿宋_GB2312" w:hAnsi="仿宋" w:cs="Times New Roman"/>
          <w:color w:val="000000"/>
          <w:sz w:val="28"/>
          <w:szCs w:val="28"/>
        </w:rPr>
        <w:t>，校级加</w:t>
      </w:r>
      <w:r>
        <w:rPr>
          <w:rFonts w:ascii="仿宋_GB2312" w:hAnsi="仿宋" w:cs="Times New Roman"/>
          <w:color w:val="000000"/>
          <w:sz w:val="28"/>
          <w:szCs w:val="28"/>
        </w:rPr>
        <w:t>1</w:t>
      </w:r>
      <w:r>
        <w:rPr>
          <w:rFonts w:hint="eastAsia" w:ascii="仿宋_GB2312" w:hAnsi="仿宋" w:cs="Times New Roman"/>
          <w:color w:val="000000"/>
          <w:sz w:val="28"/>
          <w:szCs w:val="28"/>
        </w:rPr>
        <w:t>分），加分不设上限。</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hint="eastAsia" w:ascii="仿宋_GB2312" w:hAnsi="仿宋" w:cs="Times New Roman"/>
          <w:color w:val="000000"/>
          <w:sz w:val="28"/>
          <w:szCs w:val="28"/>
        </w:rPr>
        <w:t>支部工作和活动等相关典型经验和做法得到校级及以上级别媒体报道。</w:t>
      </w:r>
      <w:r>
        <w:rPr>
          <w:rFonts w:hint="eastAsia" w:ascii="仿宋_GB2312" w:hAnsi="仿宋" w:cs="Times New Roman"/>
          <w:color w:val="000000"/>
          <w:sz w:val="28"/>
          <w:szCs w:val="28"/>
        </w:rPr>
        <w:t>（国家级加</w:t>
      </w:r>
      <w:r>
        <w:rPr>
          <w:rFonts w:ascii="仿宋_GB2312" w:hAnsi="仿宋" w:cs="Times New Roman"/>
          <w:color w:val="000000"/>
          <w:sz w:val="28"/>
          <w:szCs w:val="28"/>
        </w:rPr>
        <w:t>5</w:t>
      </w:r>
      <w:r>
        <w:rPr>
          <w:rFonts w:hint="eastAsia" w:ascii="仿宋_GB2312" w:hAnsi="仿宋" w:cs="Times New Roman"/>
          <w:color w:val="000000"/>
          <w:sz w:val="28"/>
          <w:szCs w:val="28"/>
        </w:rPr>
        <w:t>分，省级加</w:t>
      </w:r>
      <w:r>
        <w:rPr>
          <w:rFonts w:ascii="仿宋_GB2312" w:hAnsi="仿宋" w:cs="Times New Roman"/>
          <w:color w:val="000000"/>
          <w:sz w:val="28"/>
          <w:szCs w:val="28"/>
        </w:rPr>
        <w:t>3</w:t>
      </w:r>
      <w:r>
        <w:rPr>
          <w:rFonts w:hint="eastAsia" w:ascii="仿宋_GB2312" w:hAnsi="仿宋" w:cs="Times New Roman"/>
          <w:color w:val="000000"/>
          <w:sz w:val="28"/>
          <w:szCs w:val="28"/>
        </w:rPr>
        <w:t>分，</w:t>
      </w:r>
      <w:r>
        <w:rPr>
          <w:rFonts w:hint="eastAsia" w:ascii="仿宋_GB2312" w:hAnsi="仿宋" w:cs="Times New Roman"/>
          <w:color w:val="000000"/>
          <w:sz w:val="28"/>
          <w:szCs w:val="28"/>
        </w:rPr>
        <w:t>市区级加2分</w:t>
      </w:r>
      <w:r>
        <w:rPr>
          <w:rFonts w:hint="eastAsia" w:ascii="仿宋_GB2312" w:hAnsi="仿宋" w:cs="Times New Roman"/>
          <w:color w:val="000000"/>
          <w:sz w:val="28"/>
          <w:szCs w:val="28"/>
        </w:rPr>
        <w:t>，校级加</w:t>
      </w:r>
      <w:r>
        <w:rPr>
          <w:rFonts w:ascii="仿宋_GB2312" w:hAnsi="仿宋" w:cs="Times New Roman"/>
          <w:color w:val="000000"/>
          <w:sz w:val="28"/>
          <w:szCs w:val="28"/>
        </w:rPr>
        <w:t>1</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w:t>
      </w:r>
      <w:r>
        <w:rPr>
          <w:rFonts w:hint="eastAsia" w:ascii="仿宋_GB2312" w:hAnsi="仿宋" w:cs="Times New Roman"/>
          <w:color w:val="000000"/>
          <w:sz w:val="28"/>
          <w:szCs w:val="28"/>
        </w:rPr>
        <w:t>.支部团</w:t>
      </w:r>
      <w:r>
        <w:rPr>
          <w:rFonts w:hint="eastAsia" w:ascii="仿宋_GB2312" w:hAnsi="仿宋" w:cs="Times New Roman"/>
          <w:color w:val="000000"/>
          <w:sz w:val="28"/>
          <w:szCs w:val="28"/>
        </w:rPr>
        <w:t>支书获</w:t>
      </w:r>
      <w:r>
        <w:rPr>
          <w:rFonts w:hint="eastAsia" w:ascii="仿宋_GB2312" w:hAnsi="仿宋" w:cs="Times New Roman"/>
          <w:color w:val="000000"/>
          <w:sz w:val="28"/>
          <w:szCs w:val="28"/>
        </w:rPr>
        <w:t>评20</w:t>
      </w:r>
      <w:r>
        <w:rPr>
          <w:rFonts w:hint="eastAsia" w:ascii="仿宋_GB2312" w:hAnsi="仿宋" w:cs="Times New Roman"/>
          <w:color w:val="000000"/>
          <w:sz w:val="28"/>
          <w:szCs w:val="28"/>
        </w:rPr>
        <w:t>20—</w:t>
      </w:r>
      <w:r>
        <w:rPr>
          <w:rFonts w:hint="eastAsia" w:ascii="仿宋_GB2312" w:hAnsi="仿宋" w:cs="Times New Roman"/>
          <w:color w:val="000000"/>
          <w:sz w:val="28"/>
          <w:szCs w:val="28"/>
        </w:rPr>
        <w:t>202</w:t>
      </w:r>
      <w:r>
        <w:rPr>
          <w:rFonts w:hint="eastAsia" w:ascii="仿宋_GB2312" w:hAnsi="仿宋" w:cs="Times New Roman"/>
          <w:color w:val="000000"/>
          <w:sz w:val="28"/>
          <w:szCs w:val="28"/>
        </w:rPr>
        <w:t>1</w:t>
      </w:r>
      <w:r>
        <w:rPr>
          <w:rFonts w:hint="eastAsia" w:ascii="仿宋_GB2312" w:hAnsi="仿宋" w:cs="Times New Roman"/>
          <w:color w:val="000000"/>
          <w:sz w:val="28"/>
          <w:szCs w:val="28"/>
        </w:rPr>
        <w:t>年度“最美团支书”的，加1分。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第六条  附则</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本办法最终解释权归共青团中南财经政法大学委员会所有。</w:t>
      </w:r>
    </w:p>
    <w:p>
      <w:pPr>
        <w:ind w:firstLine="0" w:firstLineChars="0"/>
        <w:rPr>
          <w:rFonts w:ascii="仿宋_GB2312" w:hAnsi="仿宋" w:cs="Times New Roman"/>
          <w:color w:val="000000"/>
          <w:sz w:val="28"/>
          <w:szCs w:val="28"/>
        </w:rPr>
      </w:pPr>
    </w:p>
    <w:p>
      <w:pPr>
        <w:ind w:firstLine="0" w:firstLineChars="0"/>
        <w:rPr>
          <w:rFonts w:ascii="仿宋_GB2312" w:hAnsi="仿宋" w:cs="Times New Roman"/>
          <w:color w:val="000000"/>
          <w:sz w:val="28"/>
          <w:szCs w:val="28"/>
        </w:rPr>
      </w:pPr>
    </w:p>
    <w:p>
      <w:pPr>
        <w:ind w:firstLine="0" w:firstLineChars="0"/>
        <w:rPr>
          <w:rFonts w:ascii="仿宋_GB2312" w:hAnsi="仿宋" w:cs="Times New Roman"/>
          <w:color w:val="000000"/>
          <w:sz w:val="28"/>
          <w:szCs w:val="28"/>
        </w:rPr>
      </w:pPr>
    </w:p>
    <w:p>
      <w:pPr>
        <w:ind w:firstLine="560"/>
        <w:jc w:val="right"/>
        <w:rPr>
          <w:rFonts w:ascii="仿宋_GB2312" w:hAnsi="仿宋" w:cs="Times New Roman"/>
          <w:color w:val="000000"/>
          <w:sz w:val="28"/>
          <w:szCs w:val="28"/>
        </w:rPr>
      </w:pPr>
      <w:r>
        <w:rPr>
          <w:rFonts w:hint="eastAsia" w:ascii="仿宋_GB2312" w:hAnsi="仿宋" w:cs="Times New Roman"/>
          <w:color w:val="000000"/>
          <w:sz w:val="28"/>
          <w:szCs w:val="28"/>
        </w:rPr>
        <w:t>共青团中南财经政法大学委员会</w:t>
      </w:r>
    </w:p>
    <w:p>
      <w:pPr>
        <w:wordWrap w:val="0"/>
        <w:ind w:right="900" w:rightChars="300" w:firstLine="560"/>
        <w:jc w:val="right"/>
        <w:rPr>
          <w:rFonts w:ascii="仿宋_GB2312" w:hAnsi="仿宋" w:cs="Times New Roman"/>
          <w:color w:val="000000"/>
          <w:sz w:val="28"/>
          <w:szCs w:val="28"/>
        </w:rPr>
      </w:pPr>
      <w:r>
        <w:rPr>
          <w:rFonts w:hint="eastAsia" w:ascii="仿宋_GB2312" w:hAnsi="仿宋" w:cs="Times New Roman"/>
          <w:color w:val="000000"/>
          <w:sz w:val="28"/>
          <w:szCs w:val="28"/>
        </w:rPr>
        <w:t>20</w:t>
      </w:r>
      <w:r>
        <w:rPr>
          <w:rFonts w:ascii="仿宋_GB2312" w:hAnsi="仿宋" w:cs="Times New Roman"/>
          <w:color w:val="000000"/>
          <w:sz w:val="28"/>
          <w:szCs w:val="28"/>
        </w:rPr>
        <w:t>2</w:t>
      </w:r>
      <w:r>
        <w:rPr>
          <w:rFonts w:hint="eastAsia" w:ascii="仿宋_GB2312" w:hAnsi="仿宋" w:cs="Times New Roman"/>
          <w:color w:val="000000"/>
          <w:sz w:val="28"/>
          <w:szCs w:val="28"/>
        </w:rPr>
        <w:t>1</w:t>
      </w:r>
      <w:r>
        <w:rPr>
          <w:rFonts w:hint="eastAsia" w:ascii="仿宋_GB2312" w:hAnsi="仿宋" w:cs="Times New Roman"/>
          <w:color w:val="000000"/>
          <w:sz w:val="28"/>
          <w:szCs w:val="28"/>
        </w:rPr>
        <w:t>年</w:t>
      </w:r>
      <w:r>
        <w:rPr>
          <w:rFonts w:hint="eastAsia" w:ascii="仿宋_GB2312" w:hAnsi="仿宋" w:cs="Times New Roman"/>
          <w:color w:val="000000"/>
          <w:sz w:val="28"/>
          <w:szCs w:val="28"/>
        </w:rPr>
        <w:t>4</w:t>
      </w:r>
      <w:r>
        <w:rPr>
          <w:rFonts w:hint="eastAsia" w:ascii="仿宋_GB2312" w:hAnsi="仿宋" w:cs="Times New Roman"/>
          <w:color w:val="000000"/>
          <w:sz w:val="28"/>
          <w:szCs w:val="28"/>
        </w:rPr>
        <w:t>月</w:t>
      </w:r>
      <w:r>
        <w:rPr>
          <w:rFonts w:hint="eastAsia" w:ascii="仿宋_GB2312" w:hAnsi="仿宋" w:cs="Times New Roman"/>
          <w:color w:val="000000"/>
          <w:sz w:val="28"/>
          <w:szCs w:val="28"/>
        </w:rPr>
        <w:t>2</w:t>
      </w:r>
      <w:r>
        <w:rPr>
          <w:rFonts w:hint="eastAsia" w:ascii="仿宋_GB2312" w:hAnsi="仿宋" w:cs="Times New Roman"/>
          <w:color w:val="000000"/>
          <w:sz w:val="28"/>
          <w:szCs w:val="28"/>
        </w:rPr>
        <w:t>日</w:t>
      </w:r>
    </w:p>
    <w:p>
      <w:pPr>
        <w:widowControl/>
        <w:spacing w:line="240" w:lineRule="auto"/>
        <w:ind w:firstLine="0" w:firstLineChars="0"/>
        <w:rPr>
          <w:rFonts w:ascii="仿宋_GB2312" w:hAnsi="仿宋" w:cs="Times New Roman"/>
          <w:color w:val="000000"/>
          <w:sz w:val="28"/>
          <w:szCs w:val="28"/>
        </w:rPr>
      </w:pPr>
      <w:r>
        <w:rPr>
          <w:rFonts w:ascii="仿宋_GB2312" w:hAnsi="仿宋" w:cs="Times New Roman"/>
          <w:color w:val="000000"/>
          <w:sz w:val="28"/>
          <w:szCs w:val="28"/>
        </w:rPr>
        <w:br w:type="page"/>
      </w:r>
    </w:p>
    <w:p>
      <w:pPr>
        <w:ind w:firstLine="0" w:firstLineChars="0"/>
        <w:rPr>
          <w:rFonts w:ascii="仿宋_GB2312" w:hAnsi="黑体"/>
          <w:sz w:val="36"/>
          <w:szCs w:val="36"/>
        </w:rPr>
      </w:pPr>
      <w:r>
        <w:rPr>
          <w:rFonts w:hint="eastAsia" w:ascii="仿宋_GB2312" w:hAnsi="黑体"/>
          <w:sz w:val="36"/>
          <w:szCs w:val="36"/>
        </w:rPr>
        <w:t>附件1：</w:t>
      </w:r>
    </w:p>
    <w:p>
      <w:pPr>
        <w:spacing w:before="204" w:beforeLines="50" w:after="204" w:afterLines="50"/>
        <w:ind w:firstLine="0" w:firstLineChars="0"/>
        <w:jc w:val="center"/>
        <w:rPr>
          <w:rFonts w:ascii="方正小标宋简体" w:eastAsia="方正小标宋简体"/>
          <w:sz w:val="36"/>
          <w:szCs w:val="36"/>
        </w:rPr>
      </w:pPr>
      <w:r>
        <w:rPr>
          <w:rFonts w:hint="eastAsia" w:ascii="方正小标宋简体" w:eastAsia="方正小标宋简体"/>
          <w:sz w:val="36"/>
          <w:szCs w:val="36"/>
        </w:rPr>
        <w:t>“红旗团支部”申报表</w:t>
      </w:r>
    </w:p>
    <w:tbl>
      <w:tblPr>
        <w:tblStyle w:val="11"/>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1134"/>
        <w:gridCol w:w="1418"/>
        <w:gridCol w:w="1424"/>
        <w:gridCol w:w="560"/>
        <w:gridCol w:w="582"/>
        <w:gridCol w:w="1119"/>
        <w:gridCol w:w="993"/>
      </w:tblGrid>
      <w:tr>
        <w:tblPrEx>
          <w:tblLayout w:type="fixed"/>
          <w:tblCellMar>
            <w:top w:w="0" w:type="dxa"/>
            <w:left w:w="108" w:type="dxa"/>
            <w:bottom w:w="0" w:type="dxa"/>
            <w:right w:w="108" w:type="dxa"/>
          </w:tblCellMar>
        </w:tblPrEx>
        <w:trPr>
          <w:trHeight w:val="680" w:hRule="exact"/>
          <w:jc w:val="center"/>
        </w:trPr>
        <w:tc>
          <w:tcPr>
            <w:tcW w:w="169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团支部名称</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团支部书记</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9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学院/单位</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联系方式</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w:t>
            </w:r>
          </w:p>
          <w:p>
            <w:pPr>
              <w:ind w:firstLine="0" w:firstLineChars="0"/>
              <w:jc w:val="center"/>
              <w:rPr>
                <w:rFonts w:ascii="黑体" w:hAnsi="黑体" w:eastAsia="黑体" w:cs="Times New Roman"/>
                <w:szCs w:val="30"/>
              </w:rPr>
            </w:pPr>
            <w:r>
              <w:rPr>
                <w:rFonts w:hint="eastAsia" w:ascii="黑体" w:hAnsi="黑体" w:eastAsia="黑体" w:cs="Times New Roman"/>
                <w:szCs w:val="30"/>
              </w:rPr>
              <w:t>支</w:t>
            </w:r>
          </w:p>
          <w:p>
            <w:pPr>
              <w:ind w:firstLine="0" w:firstLineChars="0"/>
              <w:jc w:val="center"/>
              <w:rPr>
                <w:rFonts w:ascii="黑体" w:hAnsi="黑体" w:eastAsia="黑体" w:cs="Times New Roman"/>
                <w:szCs w:val="30"/>
              </w:rPr>
            </w:pPr>
            <w:r>
              <w:rPr>
                <w:rFonts w:hint="eastAsia" w:ascii="黑体" w:hAnsi="黑体" w:eastAsia="黑体" w:cs="Times New Roman"/>
                <w:szCs w:val="30"/>
              </w:rPr>
              <w:t>部</w:t>
            </w:r>
          </w:p>
          <w:p>
            <w:pPr>
              <w:ind w:firstLine="0" w:firstLineChars="0"/>
              <w:jc w:val="center"/>
              <w:rPr>
                <w:rFonts w:ascii="黑体" w:hAnsi="黑体" w:eastAsia="黑体" w:cs="Times New Roman"/>
                <w:szCs w:val="30"/>
              </w:rPr>
            </w:pPr>
            <w:r>
              <w:rPr>
                <w:rFonts w:hint="eastAsia" w:ascii="黑体" w:hAnsi="黑体" w:eastAsia="黑体" w:cs="Times New Roman"/>
                <w:szCs w:val="30"/>
              </w:rPr>
              <w:t>基</w:t>
            </w:r>
          </w:p>
          <w:p>
            <w:pPr>
              <w:ind w:firstLine="0" w:firstLineChars="0"/>
              <w:jc w:val="center"/>
              <w:rPr>
                <w:rFonts w:ascii="黑体" w:hAnsi="黑体" w:eastAsia="黑体" w:cs="Times New Roman"/>
                <w:szCs w:val="30"/>
              </w:rPr>
            </w:pPr>
            <w:r>
              <w:rPr>
                <w:rFonts w:hint="eastAsia" w:ascii="黑体" w:hAnsi="黑体" w:eastAsia="黑体" w:cs="Times New Roman"/>
                <w:szCs w:val="30"/>
              </w:rPr>
              <w:t>本</w:t>
            </w:r>
          </w:p>
          <w:p>
            <w:pPr>
              <w:ind w:firstLine="0" w:firstLineChars="0"/>
              <w:jc w:val="center"/>
              <w:rPr>
                <w:rFonts w:ascii="黑体" w:hAnsi="黑体" w:eastAsia="黑体" w:cs="Times New Roman"/>
                <w:szCs w:val="30"/>
              </w:rPr>
            </w:pPr>
            <w:r>
              <w:rPr>
                <w:rFonts w:hint="eastAsia" w:ascii="黑体" w:hAnsi="黑体" w:eastAsia="黑体" w:cs="Times New Roman"/>
                <w:szCs w:val="30"/>
              </w:rPr>
              <w:t>建</w:t>
            </w:r>
          </w:p>
          <w:p>
            <w:pPr>
              <w:ind w:firstLine="0" w:firstLineChars="0"/>
              <w:jc w:val="center"/>
              <w:rPr>
                <w:rFonts w:ascii="黑体" w:hAnsi="黑体" w:eastAsia="黑体" w:cs="Times New Roman"/>
                <w:szCs w:val="30"/>
              </w:rPr>
            </w:pPr>
            <w:r>
              <w:rPr>
                <w:rFonts w:hint="eastAsia" w:ascii="黑体" w:hAnsi="黑体" w:eastAsia="黑体" w:cs="Times New Roman"/>
                <w:szCs w:val="30"/>
              </w:rPr>
              <w:t>设</w:t>
            </w:r>
          </w:p>
          <w:p>
            <w:pPr>
              <w:ind w:firstLine="0" w:firstLineChars="0"/>
              <w:jc w:val="center"/>
              <w:rPr>
                <w:rFonts w:ascii="黑体" w:hAnsi="黑体" w:eastAsia="黑体" w:cs="Times New Roman"/>
                <w:szCs w:val="30"/>
              </w:rPr>
            </w:pPr>
            <w:r>
              <w:rPr>
                <w:rFonts w:hint="eastAsia" w:ascii="黑体" w:hAnsi="黑体" w:eastAsia="黑体" w:cs="Times New Roman"/>
                <w:szCs w:val="30"/>
              </w:rPr>
              <w:t>情</w:t>
            </w:r>
          </w:p>
          <w:p>
            <w:pPr>
              <w:ind w:firstLine="0" w:firstLineChars="0"/>
              <w:jc w:val="center"/>
              <w:rPr>
                <w:rFonts w:ascii="黑体" w:hAnsi="黑体" w:eastAsia="黑体" w:cs="Times New Roman"/>
                <w:sz w:val="28"/>
                <w:szCs w:val="28"/>
              </w:rPr>
            </w:pPr>
            <w:r>
              <w:rPr>
                <w:rFonts w:hint="eastAsia" w:ascii="黑体" w:hAnsi="黑体" w:eastAsia="黑体" w:cs="Times New Roman"/>
                <w:szCs w:val="30"/>
              </w:rPr>
              <w:t>况</w:t>
            </w:r>
          </w:p>
        </w:tc>
        <w:tc>
          <w:tcPr>
            <w:tcW w:w="1134"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支部</w:t>
            </w:r>
          </w:p>
          <w:p>
            <w:pPr>
              <w:ind w:firstLine="0" w:firstLineChars="0"/>
              <w:jc w:val="center"/>
              <w:rPr>
                <w:rFonts w:ascii="仿宋_GB2312" w:cs="Times New Roman"/>
                <w:sz w:val="24"/>
                <w:szCs w:val="24"/>
              </w:rPr>
            </w:pPr>
            <w:r>
              <w:rPr>
                <w:rFonts w:hint="eastAsia" w:ascii="仿宋_GB2312" w:cs="Times New Roman"/>
                <w:sz w:val="24"/>
                <w:szCs w:val="24"/>
              </w:rPr>
              <w:t>学生数</w:t>
            </w:r>
          </w:p>
        </w:tc>
        <w:tc>
          <w:tcPr>
            <w:tcW w:w="1134"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418"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2020</w:t>
            </w:r>
          </w:p>
          <w:p>
            <w:pPr>
              <w:ind w:firstLine="0" w:firstLineChars="0"/>
              <w:jc w:val="center"/>
              <w:rPr>
                <w:rFonts w:ascii="仿宋_GB2312" w:cs="Times New Roman"/>
                <w:sz w:val="24"/>
                <w:szCs w:val="24"/>
              </w:rPr>
            </w:pPr>
            <w:r>
              <w:rPr>
                <w:rFonts w:hint="eastAsia" w:ascii="仿宋_GB2312" w:cs="Times New Roman"/>
                <w:sz w:val="24"/>
                <w:szCs w:val="24"/>
              </w:rPr>
              <w:t>发展团员数</w:t>
            </w:r>
          </w:p>
        </w:tc>
        <w:tc>
          <w:tcPr>
            <w:tcW w:w="1984" w:type="dxa"/>
            <w:gridSpan w:val="2"/>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701" w:type="dxa"/>
            <w:gridSpan w:val="2"/>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2020</w:t>
            </w:r>
          </w:p>
          <w:p>
            <w:pPr>
              <w:ind w:firstLine="0" w:firstLineChars="0"/>
              <w:jc w:val="center"/>
              <w:rPr>
                <w:rFonts w:ascii="仿宋_GB2312" w:cs="Times New Roman"/>
                <w:sz w:val="24"/>
                <w:szCs w:val="24"/>
              </w:rPr>
            </w:pPr>
            <w:r>
              <w:rPr>
                <w:rFonts w:hint="eastAsia" w:ascii="仿宋_GB2312" w:cs="Times New Roman"/>
                <w:sz w:val="24"/>
                <w:szCs w:val="24"/>
              </w:rPr>
              <w:t>推优入党人数</w:t>
            </w:r>
          </w:p>
        </w:tc>
        <w:tc>
          <w:tcPr>
            <w:tcW w:w="993" w:type="dxa"/>
            <w:tcBorders>
              <w:top w:val="single" w:color="auto" w:sz="4" w:space="0"/>
              <w:left w:val="single" w:color="auto" w:sz="4" w:space="0"/>
              <w:right w:val="single" w:color="auto" w:sz="4" w:space="0"/>
            </w:tcBorders>
            <w:vAlign w:val="center"/>
          </w:tcPr>
          <w:p>
            <w:pPr>
              <w:ind w:firstLine="480"/>
              <w:jc w:val="center"/>
              <w:rPr>
                <w:rFonts w:ascii="仿宋_GB2312" w:cs="Times New Roman"/>
                <w:sz w:val="24"/>
                <w:szCs w:val="24"/>
              </w:rPr>
            </w:pPr>
          </w:p>
        </w:tc>
      </w:tr>
      <w:tr>
        <w:tblPrEx>
          <w:tblLayout w:type="fixed"/>
          <w:tblCellMar>
            <w:top w:w="0" w:type="dxa"/>
            <w:left w:w="108" w:type="dxa"/>
            <w:bottom w:w="0" w:type="dxa"/>
            <w:right w:w="108" w:type="dxa"/>
          </w:tblCellMar>
        </w:tblPrEx>
        <w:trPr>
          <w:trHeight w:val="848"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支部</w:t>
            </w:r>
          </w:p>
          <w:p>
            <w:pPr>
              <w:ind w:firstLine="0" w:firstLineChars="0"/>
              <w:jc w:val="center"/>
              <w:rPr>
                <w:rFonts w:ascii="仿宋_GB2312" w:cs="Times New Roman"/>
                <w:sz w:val="24"/>
                <w:szCs w:val="24"/>
              </w:rPr>
            </w:pPr>
            <w:r>
              <w:rPr>
                <w:rFonts w:hint="eastAsia" w:ascii="仿宋_GB2312" w:cs="Times New Roman"/>
                <w:sz w:val="24"/>
                <w:szCs w:val="24"/>
              </w:rPr>
              <w:t>团员数</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ascii="仿宋_GB2312" w:cs="Times New Roman"/>
                <w:sz w:val="24"/>
                <w:szCs w:val="24"/>
              </w:rPr>
              <w:t>2020</w:t>
            </w:r>
          </w:p>
          <w:p>
            <w:pPr>
              <w:ind w:firstLine="0" w:firstLineChars="0"/>
              <w:jc w:val="center"/>
              <w:rPr>
                <w:rFonts w:ascii="仿宋_GB2312" w:cs="Times New Roman"/>
                <w:sz w:val="24"/>
                <w:szCs w:val="24"/>
              </w:rPr>
            </w:pPr>
            <w:r>
              <w:rPr>
                <w:rFonts w:hint="eastAsia" w:ascii="仿宋_GB2312" w:cs="Times New Roman"/>
                <w:sz w:val="24"/>
                <w:szCs w:val="24"/>
              </w:rPr>
              <w:t>应收团费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701" w:type="dxa"/>
            <w:gridSpan w:val="2"/>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2020</w:t>
            </w:r>
          </w:p>
          <w:p>
            <w:pPr>
              <w:ind w:firstLine="0" w:firstLineChars="0"/>
              <w:jc w:val="center"/>
              <w:rPr>
                <w:rFonts w:ascii="仿宋_GB2312" w:cs="Times New Roman"/>
                <w:sz w:val="24"/>
                <w:szCs w:val="24"/>
              </w:rPr>
            </w:pPr>
            <w:r>
              <w:rPr>
                <w:rFonts w:hint="eastAsia" w:ascii="仿宋_GB2312" w:cs="Times New Roman"/>
                <w:sz w:val="24"/>
                <w:szCs w:val="24"/>
              </w:rPr>
              <w:t>实收团费</w:t>
            </w:r>
          </w:p>
        </w:tc>
        <w:tc>
          <w:tcPr>
            <w:tcW w:w="993" w:type="dxa"/>
            <w:tcBorders>
              <w:top w:val="single" w:color="auto" w:sz="4" w:space="0"/>
              <w:left w:val="single" w:color="auto" w:sz="4" w:space="0"/>
              <w:right w:val="single" w:color="auto" w:sz="4" w:space="0"/>
            </w:tcBorders>
            <w:vAlign w:val="center"/>
          </w:tcPr>
          <w:p>
            <w:pPr>
              <w:ind w:firstLine="480"/>
              <w:jc w:val="center"/>
              <w:rPr>
                <w:rFonts w:ascii="仿宋_GB2312" w:cs="Times New Roman"/>
                <w:sz w:val="24"/>
                <w:szCs w:val="24"/>
              </w:rPr>
            </w:pPr>
          </w:p>
        </w:tc>
      </w:tr>
      <w:tr>
        <w:tblPrEx>
          <w:tblLayout w:type="fixed"/>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8364"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职务</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任职时间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2268" w:type="dxa"/>
            <w:gridSpan w:val="2"/>
            <w:vMerge w:val="restar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2020</w:t>
            </w:r>
          </w:p>
          <w:p>
            <w:pPr>
              <w:ind w:firstLine="0" w:firstLineChars="0"/>
              <w:jc w:val="center"/>
              <w:rPr>
                <w:rFonts w:ascii="仿宋_GB2312" w:cs="Times New Roman"/>
                <w:sz w:val="24"/>
                <w:szCs w:val="24"/>
              </w:rPr>
            </w:pPr>
            <w:r>
              <w:rPr>
                <w:rFonts w:hint="eastAsia" w:ascii="仿宋_GB2312" w:cs="Times New Roman"/>
                <w:sz w:val="24"/>
                <w:szCs w:val="24"/>
              </w:rPr>
              <w:t>“三会两制一课”</w:t>
            </w:r>
          </w:p>
          <w:p>
            <w:pPr>
              <w:ind w:firstLine="0" w:firstLineChars="0"/>
              <w:jc w:val="center"/>
              <w:rPr>
                <w:rFonts w:ascii="仿宋_GB2312" w:cs="Times New Roman"/>
                <w:sz w:val="24"/>
                <w:szCs w:val="24"/>
              </w:rPr>
            </w:pPr>
            <w:r>
              <w:rPr>
                <w:rFonts w:hint="eastAsia" w:ascii="仿宋_GB2312" w:cs="Times New Roman"/>
                <w:sz w:val="24"/>
                <w:szCs w:val="24"/>
              </w:rPr>
              <w:t>开展情况</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支部大会</w:t>
            </w:r>
          </w:p>
          <w:p>
            <w:pPr>
              <w:ind w:firstLine="0" w:firstLineChars="0"/>
              <w:jc w:val="center"/>
              <w:rPr>
                <w:rFonts w:ascii="仿宋_GB2312" w:cs="Times New Roman"/>
                <w:sz w:val="24"/>
                <w:szCs w:val="24"/>
              </w:rPr>
            </w:pPr>
            <w:r>
              <w:rPr>
                <w:rFonts w:hint="eastAsia" w:ascii="仿宋_GB2312" w:cs="Times New Roman"/>
                <w:sz w:val="24"/>
                <w:szCs w:val="24"/>
              </w:rPr>
              <w:t>召开次数</w:t>
            </w:r>
          </w:p>
        </w:tc>
        <w:tc>
          <w:tcPr>
            <w:tcW w:w="14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团支部委员会召开次数</w:t>
            </w:r>
          </w:p>
        </w:tc>
        <w:tc>
          <w:tcPr>
            <w:tcW w:w="1142"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团小组会召开次数</w:t>
            </w:r>
          </w:p>
        </w:tc>
        <w:tc>
          <w:tcPr>
            <w:tcW w:w="11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“两制”开展情况</w:t>
            </w: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团课</w:t>
            </w:r>
          </w:p>
          <w:p>
            <w:pPr>
              <w:ind w:firstLine="0" w:firstLineChars="0"/>
              <w:jc w:val="center"/>
              <w:rPr>
                <w:rFonts w:ascii="仿宋_GB2312" w:cs="Times New Roman"/>
                <w:sz w:val="24"/>
                <w:szCs w:val="24"/>
              </w:rPr>
            </w:pPr>
            <w:r>
              <w:rPr>
                <w:rFonts w:hint="eastAsia" w:ascii="仿宋_GB2312" w:cs="Times New Roman"/>
                <w:sz w:val="24"/>
                <w:szCs w:val="24"/>
              </w:rPr>
              <w:t>开展次数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right w:val="single" w:color="auto" w:sz="4" w:space="0"/>
            </w:tcBorders>
            <w:vAlign w:val="center"/>
          </w:tcPr>
          <w:p>
            <w:pPr>
              <w:ind w:firstLine="0" w:firstLineChars="0"/>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14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tcBorders>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团支部整理整顿工作是否完成自查</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368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是否列入重点整顿团支部</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restart"/>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2020年</w:t>
            </w:r>
          </w:p>
          <w:p>
            <w:pPr>
              <w:ind w:firstLine="0" w:firstLineChars="0"/>
              <w:jc w:val="center"/>
              <w:rPr>
                <w:rFonts w:ascii="仿宋_GB2312" w:cs="Times New Roman"/>
                <w:sz w:val="24"/>
                <w:szCs w:val="24"/>
              </w:rPr>
            </w:pPr>
            <w:r>
              <w:rPr>
                <w:rFonts w:hint="eastAsia" w:ascii="仿宋_GB2312" w:cs="Times New Roman"/>
                <w:sz w:val="24"/>
                <w:szCs w:val="24"/>
              </w:rPr>
              <w:t>团日活动开展情况</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开展次数</w:t>
            </w:r>
          </w:p>
        </w:tc>
        <w:tc>
          <w:tcPr>
            <w:tcW w:w="2566"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团日活动</w:t>
            </w:r>
          </w:p>
          <w:p>
            <w:pPr>
              <w:ind w:firstLine="0" w:firstLineChars="0"/>
              <w:jc w:val="center"/>
              <w:rPr>
                <w:rFonts w:ascii="仿宋_GB2312" w:cs="Times New Roman"/>
                <w:sz w:val="24"/>
                <w:szCs w:val="24"/>
              </w:rPr>
            </w:pPr>
            <w:r>
              <w:rPr>
                <w:rFonts w:hint="eastAsia" w:ascii="仿宋_GB2312" w:cs="Times New Roman"/>
                <w:sz w:val="24"/>
                <w:szCs w:val="24"/>
              </w:rPr>
              <w:t>平均参与率</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right w:val="single" w:color="auto" w:sz="4" w:space="0"/>
            </w:tcBorders>
            <w:vAlign w:val="center"/>
          </w:tcPr>
          <w:p>
            <w:pPr>
              <w:ind w:firstLine="480"/>
              <w:jc w:val="center"/>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2566"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bottom w:val="single" w:color="auto" w:sz="4" w:space="0"/>
              <w:right w:val="single" w:color="auto" w:sz="4" w:space="0"/>
            </w:tcBorders>
            <w:vAlign w:val="center"/>
          </w:tcPr>
          <w:p>
            <w:pPr>
              <w:ind w:firstLine="480"/>
              <w:jc w:val="center"/>
              <w:rPr>
                <w:rFonts w:ascii="仿宋_GB2312" w:cs="Times New Roman"/>
                <w:sz w:val="24"/>
                <w:szCs w:val="24"/>
              </w:rPr>
            </w:pPr>
          </w:p>
        </w:tc>
        <w:tc>
          <w:tcPr>
            <w:tcW w:w="398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媒体报道次数（国家/省/校/院）</w:t>
            </w:r>
          </w:p>
          <w:p>
            <w:pPr>
              <w:ind w:firstLine="0" w:firstLineChars="0"/>
              <w:jc w:val="center"/>
              <w:rPr>
                <w:rFonts w:ascii="仿宋_GB2312" w:cs="Times New Roman"/>
                <w:sz w:val="24"/>
                <w:szCs w:val="24"/>
              </w:rPr>
            </w:pPr>
            <w:r>
              <w:rPr>
                <w:rFonts w:hint="eastAsia" w:ascii="仿宋_GB2312" w:cs="Times New Roman"/>
                <w:sz w:val="24"/>
                <w:szCs w:val="24"/>
              </w:rPr>
              <w:t>（链接附页）</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w:t>
            </w:r>
          </w:p>
          <w:p>
            <w:pPr>
              <w:ind w:firstLine="0" w:firstLineChars="0"/>
              <w:jc w:val="center"/>
              <w:rPr>
                <w:rFonts w:ascii="黑体" w:hAnsi="黑体" w:eastAsia="黑体" w:cs="Times New Roman"/>
                <w:szCs w:val="30"/>
              </w:rPr>
            </w:pPr>
            <w:r>
              <w:rPr>
                <w:rFonts w:hint="eastAsia" w:ascii="黑体" w:hAnsi="黑体" w:eastAsia="黑体" w:cs="Times New Roman"/>
                <w:szCs w:val="30"/>
              </w:rPr>
              <w:t>支</w:t>
            </w:r>
          </w:p>
          <w:p>
            <w:pPr>
              <w:ind w:firstLine="0" w:firstLineChars="0"/>
              <w:jc w:val="center"/>
              <w:rPr>
                <w:rFonts w:ascii="黑体" w:hAnsi="黑体" w:eastAsia="黑体" w:cs="Times New Roman"/>
                <w:szCs w:val="30"/>
              </w:rPr>
            </w:pPr>
            <w:r>
              <w:rPr>
                <w:rFonts w:hint="eastAsia" w:ascii="黑体" w:hAnsi="黑体" w:eastAsia="黑体" w:cs="Times New Roman"/>
                <w:szCs w:val="30"/>
              </w:rPr>
              <w:t>部</w:t>
            </w:r>
          </w:p>
          <w:p>
            <w:pPr>
              <w:ind w:firstLine="0" w:firstLineChars="0"/>
              <w:jc w:val="center"/>
              <w:rPr>
                <w:rFonts w:ascii="黑体" w:hAnsi="黑体" w:eastAsia="黑体" w:cs="Times New Roman"/>
                <w:szCs w:val="30"/>
              </w:rPr>
            </w:pPr>
            <w:r>
              <w:rPr>
                <w:rFonts w:hint="eastAsia" w:ascii="黑体" w:hAnsi="黑体" w:eastAsia="黑体" w:cs="Times New Roman"/>
                <w:szCs w:val="30"/>
              </w:rPr>
              <w:t>近</w:t>
            </w:r>
          </w:p>
          <w:p>
            <w:pPr>
              <w:ind w:firstLine="0" w:firstLineChars="0"/>
              <w:jc w:val="center"/>
              <w:rPr>
                <w:rFonts w:ascii="黑体" w:hAnsi="黑体" w:eastAsia="黑体" w:cs="Times New Roman"/>
                <w:szCs w:val="30"/>
              </w:rPr>
            </w:pPr>
            <w:r>
              <w:rPr>
                <w:rFonts w:hint="eastAsia" w:ascii="黑体" w:hAnsi="黑体" w:eastAsia="黑体" w:cs="Times New Roman"/>
                <w:szCs w:val="30"/>
              </w:rPr>
              <w:t>一</w:t>
            </w:r>
          </w:p>
          <w:p>
            <w:pPr>
              <w:ind w:firstLine="0" w:firstLineChars="0"/>
              <w:jc w:val="center"/>
              <w:rPr>
                <w:rFonts w:ascii="黑体" w:hAnsi="黑体" w:eastAsia="黑体" w:cs="Times New Roman"/>
                <w:szCs w:val="30"/>
              </w:rPr>
            </w:pPr>
            <w:r>
              <w:rPr>
                <w:rFonts w:hint="eastAsia" w:ascii="黑体" w:hAnsi="黑体" w:eastAsia="黑体" w:cs="Times New Roman"/>
                <w:szCs w:val="30"/>
              </w:rPr>
              <w:t>年</w:t>
            </w:r>
          </w:p>
          <w:p>
            <w:pPr>
              <w:ind w:firstLine="0" w:firstLineChars="0"/>
              <w:jc w:val="center"/>
              <w:rPr>
                <w:rFonts w:ascii="黑体" w:hAnsi="黑体" w:eastAsia="黑体" w:cs="Times New Roman"/>
                <w:szCs w:val="30"/>
              </w:rPr>
            </w:pPr>
            <w:r>
              <w:rPr>
                <w:rFonts w:hint="eastAsia" w:ascii="黑体" w:hAnsi="黑体" w:eastAsia="黑体" w:cs="Times New Roman"/>
                <w:szCs w:val="30"/>
              </w:rPr>
              <w:t>所</w:t>
            </w:r>
          </w:p>
          <w:p>
            <w:pPr>
              <w:ind w:firstLine="0" w:firstLineChars="0"/>
              <w:jc w:val="center"/>
              <w:rPr>
                <w:rFonts w:ascii="黑体" w:hAnsi="黑体" w:eastAsia="黑体" w:cs="Times New Roman"/>
                <w:szCs w:val="30"/>
              </w:rPr>
            </w:pPr>
            <w:r>
              <w:rPr>
                <w:rFonts w:hint="eastAsia" w:ascii="黑体" w:hAnsi="黑体" w:eastAsia="黑体" w:cs="Times New Roman"/>
                <w:szCs w:val="30"/>
              </w:rPr>
              <w:t>获</w:t>
            </w:r>
          </w:p>
          <w:p>
            <w:pPr>
              <w:ind w:firstLine="0" w:firstLineChars="0"/>
              <w:jc w:val="center"/>
              <w:rPr>
                <w:rFonts w:ascii="黑体" w:hAnsi="黑体" w:eastAsia="黑体" w:cs="Times New Roman"/>
                <w:szCs w:val="30"/>
              </w:rPr>
            </w:pPr>
            <w:r>
              <w:rPr>
                <w:rFonts w:hint="eastAsia" w:ascii="黑体" w:hAnsi="黑体" w:eastAsia="黑体" w:cs="Times New Roman"/>
                <w:szCs w:val="30"/>
              </w:rPr>
              <w:t>荣</w:t>
            </w:r>
          </w:p>
          <w:p>
            <w:pPr>
              <w:ind w:firstLine="0" w:firstLineChars="0"/>
              <w:jc w:val="center"/>
              <w:rPr>
                <w:rFonts w:ascii="黑体" w:hAnsi="黑体" w:eastAsia="黑体" w:cs="Times New Roman"/>
                <w:szCs w:val="30"/>
              </w:rPr>
            </w:pPr>
            <w:r>
              <w:rPr>
                <w:rFonts w:hint="eastAsia" w:ascii="黑体" w:hAnsi="黑体" w:eastAsia="黑体" w:cs="Times New Roman"/>
                <w:szCs w:val="30"/>
              </w:rPr>
              <w:t>誉</w:t>
            </w:r>
          </w:p>
        </w:tc>
        <w:tc>
          <w:tcPr>
            <w:tcW w:w="7230" w:type="dxa"/>
            <w:gridSpan w:val="7"/>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r>
              <w:rPr>
                <w:rFonts w:hint="eastAsia" w:ascii="仿宋_GB2312" w:cs="Times New Roman"/>
                <w:sz w:val="24"/>
                <w:szCs w:val="24"/>
              </w:rPr>
              <w:t>（证明材料附页）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4" w:hRule="atLeast"/>
          <w:jc w:val="center"/>
        </w:trPr>
        <w:tc>
          <w:tcPr>
            <w:tcW w:w="169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辅导员或相关单位负责人评价</w:t>
            </w:r>
          </w:p>
        </w:tc>
        <w:tc>
          <w:tcPr>
            <w:tcW w:w="7230" w:type="dxa"/>
            <w:gridSpan w:val="7"/>
            <w:tcBorders>
              <w:top w:val="single" w:color="auto" w:sz="4" w:space="0"/>
              <w:left w:val="single" w:color="auto" w:sz="4" w:space="0"/>
              <w:bottom w:val="single" w:color="auto" w:sz="4" w:space="0"/>
              <w:right w:val="single" w:color="auto" w:sz="4" w:space="0"/>
            </w:tcBorders>
          </w:tcPr>
          <w:p>
            <w:pPr>
              <w:ind w:firstLine="0" w:firstLineChars="0"/>
              <w:rPr>
                <w:rFonts w:ascii="仿宋_GB2312" w:cs="Times New Roman"/>
                <w:sz w:val="24"/>
                <w:szCs w:val="24"/>
              </w:rPr>
            </w:pPr>
          </w:p>
          <w:p>
            <w:pPr>
              <w:ind w:firstLine="0" w:firstLineChars="0"/>
              <w:rPr>
                <w:rFonts w:ascii="仿宋_GB2312" w:cs="Times New Roman"/>
                <w:sz w:val="24"/>
                <w:szCs w:val="24"/>
              </w:rPr>
            </w:pPr>
          </w:p>
          <w:p>
            <w:pPr>
              <w:wordWrap w:val="0"/>
              <w:ind w:firstLine="0" w:firstLineChars="0"/>
              <w:jc w:val="right"/>
              <w:rPr>
                <w:rFonts w:ascii="仿宋_GB2312" w:cs="Times New Roman"/>
                <w:sz w:val="24"/>
                <w:szCs w:val="24"/>
              </w:rPr>
            </w:pPr>
            <w:r>
              <w:rPr>
                <w:rFonts w:hint="eastAsia" w:ascii="仿宋_GB2312" w:cs="Times New Roman"/>
                <w:sz w:val="24"/>
                <w:szCs w:val="24"/>
              </w:rPr>
              <w:t>辅导员（相关单位负责人）签名：</w:t>
            </w:r>
            <w:r>
              <w:rPr>
                <w:rFonts w:ascii="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9" w:hRule="atLeast"/>
          <w:jc w:val="center"/>
        </w:trPr>
        <w:tc>
          <w:tcPr>
            <w:tcW w:w="169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学院团委或相关单位意见</w:t>
            </w:r>
          </w:p>
        </w:tc>
        <w:tc>
          <w:tcPr>
            <w:tcW w:w="7230" w:type="dxa"/>
            <w:gridSpan w:val="7"/>
            <w:tcBorders>
              <w:top w:val="single" w:color="auto" w:sz="4" w:space="0"/>
              <w:left w:val="single" w:color="auto" w:sz="4" w:space="0"/>
              <w:bottom w:val="single" w:color="auto" w:sz="4" w:space="0"/>
              <w:right w:val="single" w:color="auto" w:sz="4" w:space="0"/>
            </w:tcBorders>
            <w:vAlign w:val="center"/>
          </w:tcPr>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r>
              <w:rPr>
                <w:rFonts w:hint="eastAsia" w:ascii="仿宋_GB2312" w:cs="Times New Roman"/>
                <w:sz w:val="24"/>
                <w:szCs w:val="24"/>
              </w:rPr>
              <w:t xml:space="preserve">（盖 </w:t>
            </w:r>
            <w:r>
              <w:rPr>
                <w:rFonts w:ascii="仿宋_GB2312" w:cs="Times New Roman"/>
                <w:sz w:val="24"/>
                <w:szCs w:val="24"/>
              </w:rPr>
              <w:t xml:space="preserve"> </w:t>
            </w:r>
            <w:r>
              <w:rPr>
                <w:rFonts w:hint="eastAsia" w:ascii="仿宋_GB2312" w:cs="Times New Roman"/>
                <w:sz w:val="24"/>
                <w:szCs w:val="24"/>
              </w:rPr>
              <w:t>章）</w:t>
            </w:r>
          </w:p>
          <w:p>
            <w:pPr>
              <w:ind w:firstLine="0" w:firstLineChars="0"/>
              <w:jc w:val="right"/>
              <w:rPr>
                <w:rFonts w:ascii="仿宋_GB2312" w:cs="Times New Roman"/>
                <w:sz w:val="24"/>
                <w:szCs w:val="24"/>
              </w:rPr>
            </w:pPr>
            <w:r>
              <w:rPr>
                <w:rFonts w:hint="eastAsia" w:ascii="仿宋_GB2312" w:cs="Times New Roman"/>
                <w:sz w:val="24"/>
                <w:szCs w:val="24"/>
              </w:rPr>
              <w:t xml:space="preserve">年 </w:t>
            </w:r>
            <w:r>
              <w:rPr>
                <w:rFonts w:ascii="仿宋_GB2312" w:cs="Times New Roman"/>
                <w:sz w:val="24"/>
                <w:szCs w:val="24"/>
              </w:rPr>
              <w:t xml:space="preserve">   </w:t>
            </w:r>
            <w:r>
              <w:rPr>
                <w:rFonts w:hint="eastAsia" w:ascii="仿宋_GB2312" w:cs="Times New Roman"/>
                <w:sz w:val="24"/>
                <w:szCs w:val="24"/>
              </w:rPr>
              <w:t xml:space="preserve">月 </w:t>
            </w:r>
            <w:r>
              <w:rPr>
                <w:rFonts w:ascii="仿宋_GB2312" w:cs="Times New Roman"/>
                <w:sz w:val="24"/>
                <w:szCs w:val="24"/>
              </w:rPr>
              <w:t xml:space="preserve">   </w:t>
            </w:r>
            <w:r>
              <w:rPr>
                <w:rFonts w:hint="eastAsia" w:ascii="仿宋_GB2312" w:cs="Times New Roman"/>
                <w:sz w:val="24"/>
                <w:szCs w:val="24"/>
              </w:rPr>
              <w:t>日</w:t>
            </w:r>
          </w:p>
        </w:tc>
      </w:tr>
    </w:tbl>
    <w:p>
      <w:pPr>
        <w:ind w:right="900" w:rightChars="300" w:firstLine="0" w:firstLineChars="0"/>
        <w:rPr>
          <w:rFonts w:ascii="仿宋_GB2312" w:hAnsi="仿宋" w:cs="Times New Roman"/>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408" w:charSpace="0"/>
        </w:sectPr>
      </w:pPr>
    </w:p>
    <w:p>
      <w:pPr>
        <w:ind w:firstLine="0" w:firstLineChars="0"/>
        <w:rPr>
          <w:rFonts w:ascii="仿宋_GB2312" w:hAnsi="等线" w:cs="Times New Roman"/>
          <w:sz w:val="36"/>
          <w:szCs w:val="36"/>
        </w:rPr>
      </w:pPr>
      <w:r>
        <w:rPr>
          <w:rFonts w:hint="eastAsia" w:ascii="仿宋_GB2312" w:hAnsi="等线" w:cs="Times New Roman"/>
          <w:sz w:val="36"/>
          <w:szCs w:val="36"/>
        </w:rPr>
        <w:t>附件2</w:t>
      </w:r>
    </w:p>
    <w:p>
      <w:pPr>
        <w:spacing w:before="204" w:beforeLines="50" w:after="204" w:afterLines="50"/>
        <w:ind w:firstLine="720"/>
        <w:jc w:val="center"/>
        <w:rPr>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“红旗团支部”申报汇总表</w:t>
      </w:r>
    </w:p>
    <w:p>
      <w:pPr>
        <w:ind w:firstLine="560"/>
        <w:jc w:val="center"/>
        <w:rPr>
          <w:rFonts w:ascii="黑体" w:hAnsi="黑体" w:eastAsia="黑体" w:cs="Times New Roman"/>
          <w:sz w:val="28"/>
          <w:szCs w:val="36"/>
        </w:rPr>
      </w:pPr>
      <w:r>
        <w:rPr>
          <w:rFonts w:hint="eastAsia" w:ascii="黑体" w:hAnsi="黑体" w:eastAsia="黑体" w:cs="Times New Roman"/>
          <w:sz w:val="28"/>
          <w:szCs w:val="36"/>
        </w:rPr>
        <w:t xml:space="preserve">填报单位（盖章）：                           填报人：                    </w:t>
      </w:r>
      <w:r>
        <w:rPr>
          <w:rFonts w:ascii="黑体" w:hAnsi="黑体" w:eastAsia="黑体" w:cs="Times New Roman"/>
          <w:sz w:val="28"/>
          <w:szCs w:val="36"/>
        </w:rPr>
        <w:t xml:space="preserve"> </w:t>
      </w:r>
      <w:r>
        <w:rPr>
          <w:rFonts w:hint="eastAsia" w:ascii="黑体" w:hAnsi="黑体" w:eastAsia="黑体" w:cs="Times New Roman"/>
          <w:sz w:val="28"/>
          <w:szCs w:val="36"/>
        </w:rPr>
        <w:t>联系方式：</w:t>
      </w:r>
    </w:p>
    <w:tbl>
      <w:tblPr>
        <w:tblStyle w:val="12"/>
        <w:tblW w:w="15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2721"/>
        <w:gridCol w:w="2495"/>
        <w:gridCol w:w="2607"/>
        <w:gridCol w:w="2833"/>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54" w:type="dxa"/>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所在单位</w:t>
            </w:r>
          </w:p>
        </w:tc>
        <w:tc>
          <w:tcPr>
            <w:tcW w:w="2721" w:type="dxa"/>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团支部</w:t>
            </w:r>
          </w:p>
        </w:tc>
        <w:tc>
          <w:tcPr>
            <w:tcW w:w="2495" w:type="dxa"/>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团支部成立时间</w:t>
            </w:r>
          </w:p>
        </w:tc>
        <w:tc>
          <w:tcPr>
            <w:tcW w:w="2607" w:type="dxa"/>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负责人（职务）</w:t>
            </w:r>
          </w:p>
        </w:tc>
        <w:tc>
          <w:tcPr>
            <w:tcW w:w="2833" w:type="dxa"/>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联系方式</w:t>
            </w:r>
          </w:p>
        </w:tc>
        <w:tc>
          <w:tcPr>
            <w:tcW w:w="2269" w:type="dxa"/>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备注</w:t>
            </w:r>
          </w:p>
        </w:tc>
      </w:tr>
      <w:tr>
        <w:tblPrEx>
          <w:tblLayout w:type="fixed"/>
          <w:tblCellMar>
            <w:top w:w="0" w:type="dxa"/>
            <w:left w:w="108" w:type="dxa"/>
            <w:bottom w:w="0" w:type="dxa"/>
            <w:right w:w="108" w:type="dxa"/>
          </w:tblCellMar>
        </w:tblPrEx>
        <w:trPr>
          <w:trHeight w:val="567" w:hRule="atLeast"/>
          <w:jc w:val="center"/>
        </w:trPr>
        <w:tc>
          <w:tcPr>
            <w:tcW w:w="2554" w:type="dxa"/>
            <w:vMerge w:val="restart"/>
            <w:vAlign w:val="center"/>
          </w:tcPr>
          <w:p>
            <w:pPr>
              <w:ind w:firstLine="0" w:firstLineChars="0"/>
              <w:rPr>
                <w:rFonts w:ascii="楷体_GB2312" w:hAnsi="等线" w:eastAsia="楷体_GB2312" w:cs="Times New Roman"/>
                <w:b/>
                <w:sz w:val="28"/>
                <w:szCs w:val="28"/>
                <w:u w:val="single"/>
              </w:rPr>
            </w:pPr>
            <w:r>
              <w:rPr>
                <w:rFonts w:hint="eastAsia" w:ascii="楷体_GB2312" w:hAnsi="等线" w:eastAsia="楷体_GB2312" w:cs="Times New Roman"/>
                <w:b/>
                <w:sz w:val="28"/>
                <w:szCs w:val="28"/>
                <w:u w:val="single"/>
              </w:rPr>
              <w:t xml:space="preserve"> </w:t>
            </w:r>
            <w:r>
              <w:rPr>
                <w:rFonts w:ascii="楷体_GB2312" w:hAnsi="等线" w:eastAsia="楷体_GB2312" w:cs="Times New Roman"/>
                <w:b/>
                <w:sz w:val="28"/>
                <w:szCs w:val="28"/>
                <w:u w:val="single"/>
              </w:rPr>
              <w:t xml:space="preserve">               </w:t>
            </w:r>
          </w:p>
          <w:p>
            <w:pPr>
              <w:ind w:firstLine="0" w:firstLineChars="0"/>
              <w:jc w:val="center"/>
              <w:rPr>
                <w:rFonts w:ascii="楷体_GB2312" w:hAnsi="等线" w:eastAsia="楷体_GB2312" w:cs="Times New Roman"/>
                <w:b/>
                <w:sz w:val="28"/>
                <w:szCs w:val="28"/>
              </w:rPr>
            </w:pPr>
            <w:r>
              <w:rPr>
                <w:rFonts w:hint="eastAsia" w:ascii="楷体_GB2312" w:hAnsi="等线" w:eastAsia="楷体_GB2312" w:cs="Times New Roman"/>
                <w:b/>
                <w:sz w:val="28"/>
                <w:szCs w:val="28"/>
              </w:rPr>
              <w:t>学院（单位）</w:t>
            </w:r>
          </w:p>
        </w:tc>
        <w:tc>
          <w:tcPr>
            <w:tcW w:w="2721" w:type="dxa"/>
            <w:vAlign w:val="center"/>
          </w:tcPr>
          <w:p>
            <w:pPr>
              <w:ind w:firstLine="0" w:firstLineChars="0"/>
              <w:jc w:val="center"/>
              <w:rPr>
                <w:rFonts w:ascii="仿宋_GB2312" w:hAnsi="等线" w:cs="Times New Roman"/>
                <w:sz w:val="28"/>
                <w:szCs w:val="28"/>
              </w:rPr>
            </w:pPr>
          </w:p>
        </w:tc>
        <w:tc>
          <w:tcPr>
            <w:tcW w:w="2495" w:type="dxa"/>
            <w:vAlign w:val="center"/>
          </w:tcPr>
          <w:p>
            <w:pPr>
              <w:ind w:firstLine="0" w:firstLineChars="0"/>
              <w:jc w:val="center"/>
              <w:rPr>
                <w:rFonts w:ascii="仿宋_GB2312" w:hAnsi="等线" w:cs="Times New Roman"/>
                <w:sz w:val="28"/>
                <w:szCs w:val="28"/>
              </w:rPr>
            </w:pPr>
          </w:p>
        </w:tc>
        <w:tc>
          <w:tcPr>
            <w:tcW w:w="2607" w:type="dxa"/>
            <w:vAlign w:val="center"/>
          </w:tcPr>
          <w:p>
            <w:pPr>
              <w:ind w:firstLine="0" w:firstLineChars="0"/>
              <w:jc w:val="center"/>
              <w:rPr>
                <w:rFonts w:ascii="仿宋_GB2312" w:hAnsi="等线" w:cs="Times New Roman"/>
                <w:sz w:val="28"/>
                <w:szCs w:val="28"/>
              </w:rPr>
            </w:pPr>
          </w:p>
        </w:tc>
        <w:tc>
          <w:tcPr>
            <w:tcW w:w="2833" w:type="dxa"/>
            <w:vAlign w:val="center"/>
          </w:tcPr>
          <w:p>
            <w:pPr>
              <w:ind w:firstLine="0" w:firstLineChars="0"/>
              <w:jc w:val="center"/>
              <w:rPr>
                <w:rFonts w:ascii="仿宋_GB2312" w:hAnsi="等线" w:cs="Times New Roman"/>
                <w:sz w:val="28"/>
                <w:szCs w:val="28"/>
              </w:rPr>
            </w:pPr>
          </w:p>
        </w:tc>
        <w:tc>
          <w:tcPr>
            <w:tcW w:w="2269" w:type="dxa"/>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54" w:type="dxa"/>
            <w:vMerge w:val="continue"/>
            <w:vAlign w:val="center"/>
          </w:tcPr>
          <w:p>
            <w:pPr>
              <w:ind w:firstLine="562"/>
              <w:jc w:val="center"/>
              <w:rPr>
                <w:rFonts w:ascii="楷体_GB2312" w:hAnsi="等线" w:eastAsia="楷体_GB2312" w:cs="Times New Roman"/>
                <w:b/>
                <w:sz w:val="28"/>
                <w:szCs w:val="28"/>
              </w:rPr>
            </w:pPr>
          </w:p>
        </w:tc>
        <w:tc>
          <w:tcPr>
            <w:tcW w:w="2721" w:type="dxa"/>
            <w:vAlign w:val="center"/>
          </w:tcPr>
          <w:p>
            <w:pPr>
              <w:ind w:firstLine="0" w:firstLineChars="0"/>
              <w:jc w:val="center"/>
              <w:rPr>
                <w:rFonts w:ascii="仿宋_GB2312" w:hAnsi="等线" w:cs="Times New Roman"/>
                <w:sz w:val="28"/>
                <w:szCs w:val="28"/>
              </w:rPr>
            </w:pPr>
          </w:p>
        </w:tc>
        <w:tc>
          <w:tcPr>
            <w:tcW w:w="2495" w:type="dxa"/>
            <w:vAlign w:val="center"/>
          </w:tcPr>
          <w:p>
            <w:pPr>
              <w:ind w:firstLine="0" w:firstLineChars="0"/>
              <w:jc w:val="center"/>
              <w:rPr>
                <w:rFonts w:ascii="仿宋_GB2312" w:hAnsi="等线" w:cs="Times New Roman"/>
                <w:sz w:val="28"/>
                <w:szCs w:val="28"/>
              </w:rPr>
            </w:pPr>
          </w:p>
        </w:tc>
        <w:tc>
          <w:tcPr>
            <w:tcW w:w="2607" w:type="dxa"/>
            <w:vAlign w:val="center"/>
          </w:tcPr>
          <w:p>
            <w:pPr>
              <w:ind w:firstLine="0" w:firstLineChars="0"/>
              <w:jc w:val="center"/>
              <w:rPr>
                <w:rFonts w:ascii="仿宋_GB2312" w:hAnsi="等线" w:cs="Times New Roman"/>
                <w:sz w:val="28"/>
                <w:szCs w:val="28"/>
              </w:rPr>
            </w:pPr>
          </w:p>
        </w:tc>
        <w:tc>
          <w:tcPr>
            <w:tcW w:w="2833" w:type="dxa"/>
            <w:vAlign w:val="center"/>
          </w:tcPr>
          <w:p>
            <w:pPr>
              <w:ind w:firstLine="0" w:firstLineChars="0"/>
              <w:jc w:val="center"/>
              <w:rPr>
                <w:rFonts w:ascii="仿宋_GB2312" w:hAnsi="等线" w:cs="Times New Roman"/>
                <w:sz w:val="28"/>
                <w:szCs w:val="28"/>
              </w:rPr>
            </w:pPr>
          </w:p>
        </w:tc>
        <w:tc>
          <w:tcPr>
            <w:tcW w:w="2269" w:type="dxa"/>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54" w:type="dxa"/>
            <w:vMerge w:val="continue"/>
            <w:vAlign w:val="center"/>
          </w:tcPr>
          <w:p>
            <w:pPr>
              <w:ind w:firstLine="562"/>
              <w:jc w:val="center"/>
              <w:rPr>
                <w:rFonts w:ascii="楷体_GB2312" w:hAnsi="等线" w:eastAsia="楷体_GB2312" w:cs="Times New Roman"/>
                <w:b/>
                <w:sz w:val="28"/>
                <w:szCs w:val="28"/>
              </w:rPr>
            </w:pPr>
          </w:p>
        </w:tc>
        <w:tc>
          <w:tcPr>
            <w:tcW w:w="2721" w:type="dxa"/>
            <w:vAlign w:val="center"/>
          </w:tcPr>
          <w:p>
            <w:pPr>
              <w:ind w:firstLine="0" w:firstLineChars="0"/>
              <w:jc w:val="center"/>
              <w:rPr>
                <w:rFonts w:ascii="仿宋_GB2312" w:hAnsi="等线" w:cs="Times New Roman"/>
                <w:sz w:val="28"/>
                <w:szCs w:val="28"/>
              </w:rPr>
            </w:pPr>
          </w:p>
        </w:tc>
        <w:tc>
          <w:tcPr>
            <w:tcW w:w="2495" w:type="dxa"/>
            <w:vAlign w:val="center"/>
          </w:tcPr>
          <w:p>
            <w:pPr>
              <w:ind w:firstLine="0" w:firstLineChars="0"/>
              <w:jc w:val="center"/>
              <w:rPr>
                <w:rFonts w:ascii="仿宋_GB2312" w:hAnsi="等线" w:cs="Times New Roman"/>
                <w:sz w:val="28"/>
                <w:szCs w:val="28"/>
              </w:rPr>
            </w:pPr>
          </w:p>
        </w:tc>
        <w:tc>
          <w:tcPr>
            <w:tcW w:w="2607" w:type="dxa"/>
            <w:vAlign w:val="center"/>
          </w:tcPr>
          <w:p>
            <w:pPr>
              <w:ind w:firstLine="0" w:firstLineChars="0"/>
              <w:jc w:val="center"/>
              <w:rPr>
                <w:rFonts w:ascii="仿宋_GB2312" w:hAnsi="等线" w:cs="Times New Roman"/>
                <w:sz w:val="28"/>
                <w:szCs w:val="28"/>
              </w:rPr>
            </w:pPr>
          </w:p>
        </w:tc>
        <w:tc>
          <w:tcPr>
            <w:tcW w:w="2833" w:type="dxa"/>
            <w:vAlign w:val="center"/>
          </w:tcPr>
          <w:p>
            <w:pPr>
              <w:ind w:firstLine="0" w:firstLineChars="0"/>
              <w:jc w:val="center"/>
              <w:rPr>
                <w:rFonts w:ascii="仿宋_GB2312" w:hAnsi="等线" w:cs="Times New Roman"/>
                <w:sz w:val="28"/>
                <w:szCs w:val="28"/>
              </w:rPr>
            </w:pPr>
          </w:p>
        </w:tc>
        <w:tc>
          <w:tcPr>
            <w:tcW w:w="2269" w:type="dxa"/>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54" w:type="dxa"/>
            <w:vMerge w:val="continue"/>
            <w:vAlign w:val="center"/>
          </w:tcPr>
          <w:p>
            <w:pPr>
              <w:ind w:firstLine="562"/>
              <w:jc w:val="center"/>
              <w:rPr>
                <w:rFonts w:ascii="楷体_GB2312" w:hAnsi="等线" w:eastAsia="楷体_GB2312" w:cs="Times New Roman"/>
                <w:b/>
                <w:sz w:val="28"/>
                <w:szCs w:val="28"/>
              </w:rPr>
            </w:pPr>
          </w:p>
        </w:tc>
        <w:tc>
          <w:tcPr>
            <w:tcW w:w="2721" w:type="dxa"/>
            <w:vAlign w:val="center"/>
          </w:tcPr>
          <w:p>
            <w:pPr>
              <w:ind w:firstLine="0" w:firstLineChars="0"/>
              <w:jc w:val="center"/>
              <w:rPr>
                <w:rFonts w:ascii="仿宋_GB2312" w:hAnsi="等线" w:cs="Times New Roman"/>
                <w:sz w:val="28"/>
                <w:szCs w:val="28"/>
              </w:rPr>
            </w:pPr>
          </w:p>
        </w:tc>
        <w:tc>
          <w:tcPr>
            <w:tcW w:w="2495" w:type="dxa"/>
            <w:vAlign w:val="center"/>
          </w:tcPr>
          <w:p>
            <w:pPr>
              <w:ind w:firstLine="0" w:firstLineChars="0"/>
              <w:jc w:val="center"/>
              <w:rPr>
                <w:rFonts w:ascii="仿宋_GB2312" w:hAnsi="等线" w:cs="Times New Roman"/>
                <w:sz w:val="28"/>
                <w:szCs w:val="28"/>
              </w:rPr>
            </w:pPr>
          </w:p>
        </w:tc>
        <w:tc>
          <w:tcPr>
            <w:tcW w:w="2607" w:type="dxa"/>
            <w:vAlign w:val="center"/>
          </w:tcPr>
          <w:p>
            <w:pPr>
              <w:ind w:firstLine="0" w:firstLineChars="0"/>
              <w:jc w:val="center"/>
              <w:rPr>
                <w:rFonts w:ascii="仿宋_GB2312" w:hAnsi="等线" w:cs="Times New Roman"/>
                <w:sz w:val="28"/>
                <w:szCs w:val="28"/>
              </w:rPr>
            </w:pPr>
          </w:p>
        </w:tc>
        <w:tc>
          <w:tcPr>
            <w:tcW w:w="2833" w:type="dxa"/>
            <w:vAlign w:val="center"/>
          </w:tcPr>
          <w:p>
            <w:pPr>
              <w:ind w:firstLine="0" w:firstLineChars="0"/>
              <w:jc w:val="center"/>
              <w:rPr>
                <w:rFonts w:ascii="仿宋_GB2312" w:hAnsi="等线" w:cs="Times New Roman"/>
                <w:sz w:val="28"/>
                <w:szCs w:val="28"/>
              </w:rPr>
            </w:pPr>
          </w:p>
        </w:tc>
        <w:tc>
          <w:tcPr>
            <w:tcW w:w="2269" w:type="dxa"/>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54" w:type="dxa"/>
            <w:vMerge w:val="continue"/>
            <w:vAlign w:val="center"/>
          </w:tcPr>
          <w:p>
            <w:pPr>
              <w:ind w:firstLine="562"/>
              <w:jc w:val="center"/>
              <w:rPr>
                <w:rFonts w:ascii="楷体_GB2312" w:hAnsi="等线" w:eastAsia="楷体_GB2312" w:cs="Times New Roman"/>
                <w:b/>
                <w:sz w:val="28"/>
                <w:szCs w:val="28"/>
              </w:rPr>
            </w:pPr>
          </w:p>
        </w:tc>
        <w:tc>
          <w:tcPr>
            <w:tcW w:w="2721" w:type="dxa"/>
            <w:vAlign w:val="center"/>
          </w:tcPr>
          <w:p>
            <w:pPr>
              <w:ind w:firstLine="0" w:firstLineChars="0"/>
              <w:jc w:val="center"/>
              <w:rPr>
                <w:rFonts w:ascii="仿宋_GB2312" w:hAnsi="等线" w:cs="Times New Roman"/>
                <w:sz w:val="28"/>
                <w:szCs w:val="28"/>
              </w:rPr>
            </w:pPr>
          </w:p>
        </w:tc>
        <w:tc>
          <w:tcPr>
            <w:tcW w:w="2495" w:type="dxa"/>
            <w:vAlign w:val="center"/>
          </w:tcPr>
          <w:p>
            <w:pPr>
              <w:ind w:firstLine="0" w:firstLineChars="0"/>
              <w:jc w:val="center"/>
              <w:rPr>
                <w:rFonts w:ascii="仿宋_GB2312" w:hAnsi="等线" w:cs="Times New Roman"/>
                <w:sz w:val="28"/>
                <w:szCs w:val="28"/>
              </w:rPr>
            </w:pPr>
          </w:p>
        </w:tc>
        <w:tc>
          <w:tcPr>
            <w:tcW w:w="2607" w:type="dxa"/>
            <w:vAlign w:val="center"/>
          </w:tcPr>
          <w:p>
            <w:pPr>
              <w:ind w:firstLine="0" w:firstLineChars="0"/>
              <w:jc w:val="center"/>
              <w:rPr>
                <w:rFonts w:ascii="仿宋_GB2312" w:hAnsi="等线" w:cs="Times New Roman"/>
                <w:sz w:val="28"/>
                <w:szCs w:val="28"/>
              </w:rPr>
            </w:pPr>
          </w:p>
        </w:tc>
        <w:tc>
          <w:tcPr>
            <w:tcW w:w="2833" w:type="dxa"/>
            <w:vAlign w:val="center"/>
          </w:tcPr>
          <w:p>
            <w:pPr>
              <w:ind w:firstLine="0" w:firstLineChars="0"/>
              <w:jc w:val="center"/>
              <w:rPr>
                <w:rFonts w:ascii="仿宋_GB2312" w:hAnsi="等线" w:cs="Times New Roman"/>
                <w:sz w:val="28"/>
                <w:szCs w:val="28"/>
              </w:rPr>
            </w:pPr>
          </w:p>
        </w:tc>
        <w:tc>
          <w:tcPr>
            <w:tcW w:w="2269" w:type="dxa"/>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54" w:type="dxa"/>
            <w:vMerge w:val="continue"/>
            <w:vAlign w:val="center"/>
          </w:tcPr>
          <w:p>
            <w:pPr>
              <w:ind w:firstLine="562"/>
              <w:jc w:val="center"/>
              <w:rPr>
                <w:rFonts w:ascii="楷体_GB2312" w:hAnsi="等线" w:eastAsia="楷体_GB2312" w:cs="Times New Roman"/>
                <w:b/>
                <w:sz w:val="28"/>
                <w:szCs w:val="28"/>
              </w:rPr>
            </w:pPr>
          </w:p>
        </w:tc>
        <w:tc>
          <w:tcPr>
            <w:tcW w:w="2721" w:type="dxa"/>
            <w:vAlign w:val="center"/>
          </w:tcPr>
          <w:p>
            <w:pPr>
              <w:ind w:firstLine="0" w:firstLineChars="0"/>
              <w:jc w:val="center"/>
              <w:rPr>
                <w:rFonts w:ascii="仿宋_GB2312" w:hAnsi="等线" w:cs="Times New Roman"/>
                <w:sz w:val="28"/>
                <w:szCs w:val="28"/>
              </w:rPr>
            </w:pPr>
          </w:p>
        </w:tc>
        <w:tc>
          <w:tcPr>
            <w:tcW w:w="2495" w:type="dxa"/>
            <w:vAlign w:val="center"/>
          </w:tcPr>
          <w:p>
            <w:pPr>
              <w:ind w:firstLine="0" w:firstLineChars="0"/>
              <w:jc w:val="center"/>
              <w:rPr>
                <w:rFonts w:ascii="仿宋_GB2312" w:hAnsi="等线" w:cs="Times New Roman"/>
                <w:sz w:val="28"/>
                <w:szCs w:val="28"/>
              </w:rPr>
            </w:pPr>
          </w:p>
        </w:tc>
        <w:tc>
          <w:tcPr>
            <w:tcW w:w="2607" w:type="dxa"/>
            <w:vAlign w:val="center"/>
          </w:tcPr>
          <w:p>
            <w:pPr>
              <w:ind w:firstLine="0" w:firstLineChars="0"/>
              <w:jc w:val="center"/>
              <w:rPr>
                <w:rFonts w:ascii="仿宋_GB2312" w:hAnsi="等线" w:cs="Times New Roman"/>
                <w:sz w:val="28"/>
                <w:szCs w:val="28"/>
              </w:rPr>
            </w:pPr>
          </w:p>
        </w:tc>
        <w:tc>
          <w:tcPr>
            <w:tcW w:w="2833" w:type="dxa"/>
            <w:vAlign w:val="center"/>
          </w:tcPr>
          <w:p>
            <w:pPr>
              <w:ind w:firstLine="0" w:firstLineChars="0"/>
              <w:jc w:val="center"/>
              <w:rPr>
                <w:rFonts w:ascii="仿宋_GB2312" w:hAnsi="等线" w:cs="Times New Roman"/>
                <w:sz w:val="28"/>
                <w:szCs w:val="28"/>
              </w:rPr>
            </w:pPr>
          </w:p>
        </w:tc>
        <w:tc>
          <w:tcPr>
            <w:tcW w:w="2269" w:type="dxa"/>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54" w:type="dxa"/>
            <w:vMerge w:val="continue"/>
            <w:vAlign w:val="center"/>
          </w:tcPr>
          <w:p>
            <w:pPr>
              <w:ind w:firstLine="562"/>
              <w:jc w:val="center"/>
              <w:rPr>
                <w:rFonts w:ascii="楷体_GB2312" w:hAnsi="等线" w:eastAsia="楷体_GB2312" w:cs="Times New Roman"/>
                <w:b/>
                <w:sz w:val="28"/>
                <w:szCs w:val="28"/>
              </w:rPr>
            </w:pPr>
          </w:p>
        </w:tc>
        <w:tc>
          <w:tcPr>
            <w:tcW w:w="2721" w:type="dxa"/>
            <w:vAlign w:val="center"/>
          </w:tcPr>
          <w:p>
            <w:pPr>
              <w:ind w:firstLine="0" w:firstLineChars="0"/>
              <w:jc w:val="center"/>
              <w:rPr>
                <w:rFonts w:ascii="仿宋_GB2312" w:hAnsi="等线" w:cs="Times New Roman"/>
                <w:sz w:val="28"/>
                <w:szCs w:val="28"/>
              </w:rPr>
            </w:pPr>
          </w:p>
        </w:tc>
        <w:tc>
          <w:tcPr>
            <w:tcW w:w="2495" w:type="dxa"/>
            <w:vAlign w:val="center"/>
          </w:tcPr>
          <w:p>
            <w:pPr>
              <w:ind w:firstLine="0" w:firstLineChars="0"/>
              <w:jc w:val="center"/>
              <w:rPr>
                <w:rFonts w:ascii="仿宋_GB2312" w:hAnsi="等线" w:cs="Times New Roman"/>
                <w:sz w:val="28"/>
                <w:szCs w:val="28"/>
              </w:rPr>
            </w:pPr>
          </w:p>
        </w:tc>
        <w:tc>
          <w:tcPr>
            <w:tcW w:w="2607" w:type="dxa"/>
            <w:vAlign w:val="center"/>
          </w:tcPr>
          <w:p>
            <w:pPr>
              <w:ind w:firstLine="0" w:firstLineChars="0"/>
              <w:jc w:val="center"/>
              <w:rPr>
                <w:rFonts w:ascii="仿宋_GB2312" w:hAnsi="等线" w:cs="Times New Roman"/>
                <w:sz w:val="28"/>
                <w:szCs w:val="28"/>
              </w:rPr>
            </w:pPr>
          </w:p>
        </w:tc>
        <w:tc>
          <w:tcPr>
            <w:tcW w:w="2833" w:type="dxa"/>
            <w:vAlign w:val="center"/>
          </w:tcPr>
          <w:p>
            <w:pPr>
              <w:ind w:firstLine="0" w:firstLineChars="0"/>
              <w:jc w:val="center"/>
              <w:rPr>
                <w:rFonts w:ascii="仿宋_GB2312" w:hAnsi="等线" w:cs="Times New Roman"/>
                <w:sz w:val="28"/>
                <w:szCs w:val="28"/>
              </w:rPr>
            </w:pPr>
          </w:p>
        </w:tc>
        <w:tc>
          <w:tcPr>
            <w:tcW w:w="2269" w:type="dxa"/>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54" w:type="dxa"/>
            <w:vMerge w:val="continue"/>
            <w:vAlign w:val="center"/>
          </w:tcPr>
          <w:p>
            <w:pPr>
              <w:ind w:firstLine="562"/>
              <w:jc w:val="center"/>
              <w:rPr>
                <w:rFonts w:ascii="楷体_GB2312" w:hAnsi="等线" w:eastAsia="楷体_GB2312" w:cs="Times New Roman"/>
                <w:b/>
                <w:sz w:val="28"/>
                <w:szCs w:val="28"/>
              </w:rPr>
            </w:pPr>
          </w:p>
        </w:tc>
        <w:tc>
          <w:tcPr>
            <w:tcW w:w="2721" w:type="dxa"/>
            <w:vAlign w:val="center"/>
          </w:tcPr>
          <w:p>
            <w:pPr>
              <w:ind w:firstLine="0" w:firstLineChars="0"/>
              <w:jc w:val="center"/>
              <w:rPr>
                <w:rFonts w:ascii="仿宋_GB2312" w:hAnsi="等线" w:cs="Times New Roman"/>
                <w:sz w:val="28"/>
                <w:szCs w:val="28"/>
              </w:rPr>
            </w:pPr>
          </w:p>
        </w:tc>
        <w:tc>
          <w:tcPr>
            <w:tcW w:w="2495" w:type="dxa"/>
            <w:vAlign w:val="center"/>
          </w:tcPr>
          <w:p>
            <w:pPr>
              <w:ind w:firstLine="0" w:firstLineChars="0"/>
              <w:jc w:val="center"/>
              <w:rPr>
                <w:rFonts w:ascii="仿宋_GB2312" w:hAnsi="等线" w:cs="Times New Roman"/>
                <w:sz w:val="28"/>
                <w:szCs w:val="28"/>
              </w:rPr>
            </w:pPr>
          </w:p>
        </w:tc>
        <w:tc>
          <w:tcPr>
            <w:tcW w:w="2607" w:type="dxa"/>
            <w:vAlign w:val="center"/>
          </w:tcPr>
          <w:p>
            <w:pPr>
              <w:ind w:firstLine="0" w:firstLineChars="0"/>
              <w:jc w:val="center"/>
              <w:rPr>
                <w:rFonts w:ascii="仿宋_GB2312" w:hAnsi="等线" w:cs="Times New Roman"/>
                <w:sz w:val="28"/>
                <w:szCs w:val="28"/>
              </w:rPr>
            </w:pPr>
          </w:p>
        </w:tc>
        <w:tc>
          <w:tcPr>
            <w:tcW w:w="2833" w:type="dxa"/>
            <w:vAlign w:val="center"/>
          </w:tcPr>
          <w:p>
            <w:pPr>
              <w:ind w:firstLine="0" w:firstLineChars="0"/>
              <w:jc w:val="center"/>
              <w:rPr>
                <w:rFonts w:ascii="仿宋_GB2312" w:hAnsi="等线" w:cs="Times New Roman"/>
                <w:sz w:val="28"/>
                <w:szCs w:val="28"/>
              </w:rPr>
            </w:pPr>
          </w:p>
        </w:tc>
        <w:tc>
          <w:tcPr>
            <w:tcW w:w="2269" w:type="dxa"/>
            <w:vAlign w:val="center"/>
          </w:tcPr>
          <w:p>
            <w:pPr>
              <w:ind w:firstLine="0" w:firstLineChars="0"/>
              <w:jc w:val="center"/>
              <w:rPr>
                <w:rFonts w:ascii="仿宋_GB2312" w:hAnsi="等线" w:cs="Times New Roman"/>
                <w:sz w:val="28"/>
                <w:szCs w:val="28"/>
              </w:rPr>
            </w:pPr>
          </w:p>
        </w:tc>
      </w:tr>
    </w:tbl>
    <w:p>
      <w:pPr>
        <w:ind w:firstLine="0" w:firstLineChars="0"/>
      </w:pPr>
    </w:p>
    <w:p>
      <w:pPr>
        <w:ind w:firstLine="560"/>
        <w:jc w:val="center"/>
        <w:rPr>
          <w:rFonts w:ascii="仿宋_GB2312"/>
          <w:sz w:val="28"/>
          <w:szCs w:val="28"/>
        </w:rPr>
      </w:pPr>
      <w:r>
        <w:rPr>
          <w:rFonts w:hint="eastAsia" w:ascii="仿宋_GB2312"/>
          <w:sz w:val="28"/>
          <w:szCs w:val="28"/>
        </w:rPr>
        <w:t>共青团中南财经政法大学委员会二</w:t>
      </w:r>
      <w:r>
        <w:rPr>
          <w:rFonts w:hint="eastAsia" w:ascii="宋体" w:hAnsi="宋体" w:eastAsia="宋体" w:cs="宋体"/>
          <w:sz w:val="28"/>
          <w:szCs w:val="28"/>
        </w:rPr>
        <w:t>〇</w:t>
      </w:r>
      <w:r>
        <w:rPr>
          <w:rFonts w:hint="eastAsia" w:ascii="仿宋_GB2312"/>
          <w:sz w:val="28"/>
          <w:szCs w:val="28"/>
        </w:rPr>
        <w:t>二</w:t>
      </w:r>
      <w:r>
        <w:rPr>
          <w:rFonts w:hint="eastAsia" w:ascii="宋体" w:hAnsi="宋体" w:eastAsia="宋体" w:cs="宋体"/>
          <w:sz w:val="28"/>
          <w:szCs w:val="28"/>
        </w:rPr>
        <w:t>一</w:t>
      </w:r>
      <w:r>
        <w:rPr>
          <w:rFonts w:hint="eastAsia" w:ascii="仿宋_GB2312" w:hAnsi="仿宋_GB2312" w:cs="仿宋_GB2312"/>
          <w:sz w:val="28"/>
          <w:szCs w:val="28"/>
        </w:rPr>
        <w:t>年制</w:t>
      </w:r>
    </w:p>
    <w:sectPr>
      <w:pgSz w:w="16838" w:h="11906" w:orient="landscape"/>
      <w:pgMar w:top="1800" w:right="1440" w:bottom="1800" w:left="1440" w:header="851" w:footer="992" w:gutter="0"/>
      <w:pgNumType w:start="1"/>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DengXian"/>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ind w:firstLine="0" w:firstLineChars="0"/>
      <w:outlineLvl w:val="0"/>
    </w:pPr>
    <w:rPr>
      <w:rFonts w:eastAsia="黑体"/>
      <w:bCs/>
      <w:kern w:val="44"/>
      <w:sz w:val="32"/>
      <w:szCs w:val="44"/>
    </w:rPr>
  </w:style>
  <w:style w:type="character" w:default="1" w:styleId="9">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8"/>
    <w:unhideWhenUsed/>
    <w:qFormat/>
    <w:uiPriority w:val="99"/>
    <w:rPr>
      <w:b/>
      <w:bCs/>
    </w:rPr>
  </w:style>
  <w:style w:type="paragraph" w:styleId="4">
    <w:name w:val="annotation text"/>
    <w:basedOn w:val="1"/>
    <w:link w:val="17"/>
    <w:unhideWhenUsed/>
    <w:qFormat/>
    <w:uiPriority w:val="99"/>
  </w:style>
  <w:style w:type="paragraph" w:styleId="5">
    <w:name w:val="Date"/>
    <w:basedOn w:val="1"/>
    <w:next w:val="1"/>
    <w:link w:val="13"/>
    <w:unhideWhenUsed/>
    <w:qFormat/>
    <w:uiPriority w:val="99"/>
    <w:pPr>
      <w:ind w:left="100" w:leftChars="2500"/>
    </w:pPr>
  </w:style>
  <w:style w:type="paragraph" w:styleId="6">
    <w:name w:val="Balloon Text"/>
    <w:basedOn w:val="1"/>
    <w:link w:val="19"/>
    <w:unhideWhenUsed/>
    <w:uiPriority w:val="99"/>
    <w:pPr>
      <w:spacing w:line="240" w:lineRule="auto"/>
    </w:pPr>
    <w:rPr>
      <w:sz w:val="18"/>
      <w:szCs w:val="1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unhideWhenUsed/>
    <w:qFormat/>
    <w:uiPriority w:val="99"/>
    <w:rPr>
      <w:sz w:val="21"/>
      <w:szCs w:val="21"/>
    </w:rPr>
  </w:style>
  <w:style w:type="table" w:styleId="12">
    <w:name w:val="Table Grid"/>
    <w:basedOn w:val="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日期 字符"/>
    <w:basedOn w:val="9"/>
    <w:link w:val="5"/>
    <w:semiHidden/>
    <w:qFormat/>
    <w:uiPriority w:val="99"/>
  </w:style>
  <w:style w:type="character" w:customStyle="1" w:styleId="14">
    <w:name w:val="页眉 字符"/>
    <w:basedOn w:val="9"/>
    <w:link w:val="8"/>
    <w:qFormat/>
    <w:uiPriority w:val="99"/>
    <w:rPr>
      <w:sz w:val="18"/>
      <w:szCs w:val="18"/>
    </w:rPr>
  </w:style>
  <w:style w:type="character" w:customStyle="1" w:styleId="15">
    <w:name w:val="页脚 字符"/>
    <w:basedOn w:val="9"/>
    <w:link w:val="7"/>
    <w:qFormat/>
    <w:uiPriority w:val="99"/>
    <w:rPr>
      <w:sz w:val="18"/>
      <w:szCs w:val="18"/>
    </w:rPr>
  </w:style>
  <w:style w:type="character" w:customStyle="1" w:styleId="16">
    <w:name w:val="标题 1 字符"/>
    <w:basedOn w:val="9"/>
    <w:link w:val="2"/>
    <w:qFormat/>
    <w:uiPriority w:val="9"/>
    <w:rPr>
      <w:rFonts w:eastAsia="黑体"/>
      <w:bCs/>
      <w:kern w:val="44"/>
      <w:sz w:val="32"/>
      <w:szCs w:val="44"/>
    </w:rPr>
  </w:style>
  <w:style w:type="character" w:customStyle="1" w:styleId="17">
    <w:name w:val="批注文字 字符"/>
    <w:basedOn w:val="9"/>
    <w:link w:val="4"/>
    <w:semiHidden/>
    <w:qFormat/>
    <w:uiPriority w:val="99"/>
    <w:rPr>
      <w:rFonts w:eastAsia="仿宋_GB2312"/>
      <w:sz w:val="30"/>
    </w:rPr>
  </w:style>
  <w:style w:type="character" w:customStyle="1" w:styleId="18">
    <w:name w:val="批注主题 字符"/>
    <w:basedOn w:val="17"/>
    <w:link w:val="3"/>
    <w:semiHidden/>
    <w:qFormat/>
    <w:uiPriority w:val="99"/>
    <w:rPr>
      <w:rFonts w:eastAsia="仿宋_GB2312"/>
      <w:b/>
      <w:bCs/>
      <w:sz w:val="30"/>
    </w:rPr>
  </w:style>
  <w:style w:type="character" w:customStyle="1" w:styleId="19">
    <w:name w:val="批注框文本 字符"/>
    <w:basedOn w:val="9"/>
    <w:link w:val="6"/>
    <w:semiHidden/>
    <w:qFormat/>
    <w:uiPriority w:val="99"/>
    <w:rPr>
      <w:rFonts w:eastAsia="仿宋_GB2312"/>
      <w:sz w:val="18"/>
      <w:szCs w:val="18"/>
    </w:rPr>
  </w:style>
  <w:style w:type="paragraph" w:customStyle="1" w:styleId="20">
    <w:name w:val="List Paragraph"/>
    <w:basedOn w:val="1"/>
    <w:qFormat/>
    <w:uiPriority w:val="34"/>
    <w:pPr>
      <w:ind w:firstLine="420"/>
    </w:pPr>
  </w:style>
  <w:style w:type="paragraph" w:customStyle="1" w:styleId="21">
    <w:name w:val="修订1"/>
    <w:hidden/>
    <w:semiHidden/>
    <w:qFormat/>
    <w:uiPriority w:val="99"/>
    <w:rPr>
      <w:rFonts w:eastAsia="仿宋_GB2312" w:asciiTheme="minorHAnsi" w:hAnsiTheme="minorHAnsi" w:cstheme="minorBidi"/>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587</Words>
  <Characters>3349</Characters>
  <Lines>27</Lines>
  <Paragraphs>7</Paragraphs>
  <TotalTime>0</TotalTime>
  <ScaleCrop>false</ScaleCrop>
  <LinksUpToDate>false</LinksUpToDate>
  <CharactersWithSpaces>3929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2021-03-21T14:12:00Z</dcterms:created>
  <dc:creator>YOUHA</dc:creator>
  <cp:lastModifiedBy>刘紫嫣的iPad</cp:lastModifiedBy>
  <dcterms:modified xsi:type="dcterms:W3CDTF">2021-04-10T10:39:03Z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710D28D92113C532C70F7160D386DAFD</vt:lpwstr>
  </property>
</Properties>
</file>